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3756" w14:textId="67EB5EC1" w:rsidR="00AB6FDD" w:rsidRPr="00A14819" w:rsidRDefault="00AB6FDD" w:rsidP="00D33F7B">
      <w:pPr>
        <w:pStyle w:val="BodyText"/>
        <w:jc w:val="center"/>
        <w:rPr>
          <w:rFonts w:ascii="Times New Roman" w:hAnsi="Times New Roman" w:cs="Times New Roman"/>
          <w:b/>
          <w:sz w:val="24"/>
          <w:szCs w:val="24"/>
        </w:rPr>
      </w:pPr>
      <w:r w:rsidRPr="00A14819">
        <w:rPr>
          <w:rFonts w:ascii="Times New Roman" w:hAnsi="Times New Roman" w:cs="Times New Roman"/>
          <w:b/>
          <w:sz w:val="24"/>
          <w:szCs w:val="24"/>
        </w:rPr>
        <w:t>ENVIRONMENTAL, SOCIAL AND GOVERNANCE</w:t>
      </w:r>
      <w:r w:rsidR="00D33F7B" w:rsidRPr="00A14819">
        <w:rPr>
          <w:rStyle w:val="FootnoteReference"/>
          <w:rFonts w:cs="Times New Roman"/>
          <w:b/>
          <w:sz w:val="24"/>
          <w:szCs w:val="24"/>
        </w:rPr>
        <w:footnoteReference w:id="2"/>
      </w:r>
      <w:r w:rsidRPr="00A14819">
        <w:rPr>
          <w:rFonts w:ascii="Times New Roman" w:hAnsi="Times New Roman" w:cs="Times New Roman"/>
          <w:b/>
          <w:sz w:val="24"/>
          <w:szCs w:val="24"/>
        </w:rPr>
        <w:t xml:space="preserve"> INFORMATION COVENANT </w:t>
      </w:r>
      <w:r w:rsidR="00071C21" w:rsidRPr="00A14819">
        <w:rPr>
          <w:rFonts w:ascii="Times New Roman" w:hAnsi="Times New Roman" w:cs="Times New Roman"/>
          <w:b/>
          <w:sz w:val="24"/>
          <w:szCs w:val="24"/>
        </w:rPr>
        <w:t>PACKAGE</w:t>
      </w:r>
    </w:p>
    <w:p w14:paraId="6A7E1C86" w14:textId="77777777" w:rsidR="00C83208" w:rsidRPr="00A14819" w:rsidRDefault="00C83208" w:rsidP="000A6317">
      <w:pPr>
        <w:jc w:val="both"/>
        <w:rPr>
          <w:rFonts w:ascii="Times New Roman" w:hAnsi="Times New Roman" w:cs="Times New Roman"/>
          <w:sz w:val="24"/>
          <w:szCs w:val="24"/>
        </w:rPr>
      </w:pPr>
    </w:p>
    <w:p w14:paraId="1362B786" w14:textId="77777777" w:rsidR="00EF1E79" w:rsidRPr="00A14819" w:rsidRDefault="00EF1E79" w:rsidP="00871A65">
      <w:pPr>
        <w:pStyle w:val="General2L1"/>
        <w:numPr>
          <w:ilvl w:val="0"/>
          <w:numId w:val="46"/>
        </w:numPr>
        <w:rPr>
          <w:szCs w:val="24"/>
        </w:rPr>
      </w:pPr>
      <w:bookmarkStart w:id="0" w:name="_Ref233523896"/>
      <w:bookmarkStart w:id="1" w:name="_Toc388510849"/>
      <w:bookmarkStart w:id="2" w:name="_Toc466028077"/>
      <w:bookmarkStart w:id="3" w:name="_Toc482028306"/>
      <w:r w:rsidRPr="00A14819">
        <w:rPr>
          <w:szCs w:val="24"/>
        </w:rPr>
        <w:t>Introduction</w:t>
      </w:r>
      <w:bookmarkEnd w:id="0"/>
      <w:bookmarkEnd w:id="1"/>
      <w:bookmarkEnd w:id="2"/>
      <w:bookmarkEnd w:id="3"/>
    </w:p>
    <w:p w14:paraId="75F1EB14" w14:textId="429D66E5" w:rsidR="00EF1E79" w:rsidRPr="00A14819" w:rsidRDefault="00EF1E79" w:rsidP="00871A65">
      <w:pPr>
        <w:pStyle w:val="BodyText1"/>
        <w:ind w:left="360"/>
      </w:pPr>
      <w:r w:rsidRPr="00A14819">
        <w:t xml:space="preserve">This </w:t>
      </w:r>
      <w:r w:rsidR="006E7576" w:rsidRPr="00A14819">
        <w:t xml:space="preserve">ESG Covenant </w:t>
      </w:r>
      <w:r w:rsidR="00071C21" w:rsidRPr="00A14819">
        <w:t>Package</w:t>
      </w:r>
      <w:r w:rsidRPr="00A14819">
        <w:t xml:space="preserve"> has been produced in response to demand from participants in the syndicated lending market to provide suggested drafting for </w:t>
      </w:r>
      <w:r w:rsidR="00786641" w:rsidRPr="00A14819">
        <w:t>ESG information covenant provisions</w:t>
      </w:r>
      <w:r w:rsidR="00E256F9" w:rsidRPr="00A14819">
        <w:t xml:space="preserve"> for use alongside LMA</w:t>
      </w:r>
      <w:r w:rsidR="0037379E" w:rsidRPr="00A14819">
        <w:t xml:space="preserve"> recommended form</w:t>
      </w:r>
      <w:r w:rsidR="00E256F9" w:rsidRPr="00A14819">
        <w:t xml:space="preserve"> </w:t>
      </w:r>
      <w:r w:rsidR="007C2331" w:rsidRPr="00A14819">
        <w:t>facility document</w:t>
      </w:r>
      <w:r w:rsidR="0037379E" w:rsidRPr="00A14819">
        <w:t>s</w:t>
      </w:r>
      <w:r w:rsidR="006E7576" w:rsidRPr="00A14819">
        <w:t xml:space="preserve">, </w:t>
      </w:r>
      <w:r w:rsidR="00B34BE8">
        <w:t xml:space="preserve">regardless of whether </w:t>
      </w:r>
      <w:r w:rsidR="00AC7CA3">
        <w:t xml:space="preserve">a transaction </w:t>
      </w:r>
      <w:r w:rsidR="00B34BE8">
        <w:t xml:space="preserve">is </w:t>
      </w:r>
      <w:r w:rsidR="00AC7CA3">
        <w:t xml:space="preserve">aligned to the Green Loan Principles or the Social Loan Principles. </w:t>
      </w:r>
    </w:p>
    <w:p w14:paraId="0C3B9967" w14:textId="7766CE48" w:rsidR="00F60A2C" w:rsidRPr="00A14819" w:rsidRDefault="00DA5957" w:rsidP="00871A65">
      <w:pPr>
        <w:pStyle w:val="BodyText1"/>
        <w:ind w:left="360"/>
      </w:pPr>
      <w:r w:rsidRPr="00A14819">
        <w:t>This initiative has two main aims:-</w:t>
      </w:r>
    </w:p>
    <w:p w14:paraId="38007E32" w14:textId="6BDAA620" w:rsidR="00F60A2C" w:rsidRPr="00F60A2C" w:rsidRDefault="00F60A2C" w:rsidP="00871A65">
      <w:pPr>
        <w:pStyle w:val="BodyText1"/>
        <w:numPr>
          <w:ilvl w:val="0"/>
          <w:numId w:val="42"/>
        </w:numPr>
        <w:ind w:left="1080"/>
      </w:pPr>
      <w:r>
        <w:t xml:space="preserve">to greater unify ESG data collection by providing a consistent set of requirements as “best practice” for borrowers when reporting to lenders in respect of ESG matters; and  </w:t>
      </w:r>
    </w:p>
    <w:p w14:paraId="0AD43E01" w14:textId="511B450B" w:rsidR="00145390" w:rsidRPr="00A14819" w:rsidRDefault="00F60A2C" w:rsidP="00871A65">
      <w:pPr>
        <w:pStyle w:val="BodyText1"/>
        <w:numPr>
          <w:ilvl w:val="0"/>
          <w:numId w:val="42"/>
        </w:numPr>
        <w:ind w:left="1080"/>
      </w:pPr>
      <w:r w:rsidRPr="00F60A2C">
        <w:t>facilitating lenders’ compliance with their increasing ESG disclosure obligations under applicable E</w:t>
      </w:r>
      <w:r w:rsidR="003749D0">
        <w:t xml:space="preserve">uropean </w:t>
      </w:r>
      <w:r w:rsidRPr="00F60A2C">
        <w:t>U</w:t>
      </w:r>
      <w:r w:rsidR="003749D0">
        <w:t>nion</w:t>
      </w:r>
      <w:r w:rsidRPr="00F60A2C">
        <w:t xml:space="preserve"> and/or U</w:t>
      </w:r>
      <w:r w:rsidR="003749D0">
        <w:t xml:space="preserve">nited </w:t>
      </w:r>
      <w:r w:rsidRPr="00F60A2C">
        <w:t>K</w:t>
      </w:r>
      <w:r w:rsidR="003749D0">
        <w:t>ingdom</w:t>
      </w:r>
      <w:r w:rsidRPr="00F60A2C">
        <w:t xml:space="preserve"> law and regulations and, where relevant, lenders’ compliance with their own net zero targets and investor demand.</w:t>
      </w:r>
    </w:p>
    <w:p w14:paraId="6A8CA3B5" w14:textId="142E696F" w:rsidR="000A6317" w:rsidRPr="00A14819" w:rsidRDefault="000A6317" w:rsidP="00871A65">
      <w:pPr>
        <w:pStyle w:val="BodyText1"/>
        <w:ind w:left="360"/>
      </w:pPr>
      <w:r w:rsidRPr="00A14819">
        <w:t xml:space="preserve">The ESG Covenant Package </w:t>
      </w:r>
      <w:r w:rsidR="00E750E4" w:rsidRPr="00A14819">
        <w:t xml:space="preserve">is intended </w:t>
      </w:r>
      <w:r w:rsidRPr="00A14819">
        <w:t>to be provided and considered as part of the term sheet negotiation stage between the relevant parties, in order to facilitate discussion on ESG reporting obligations under the finance documents.</w:t>
      </w:r>
    </w:p>
    <w:p w14:paraId="6FAB893E" w14:textId="7028FD65" w:rsidR="00871A65" w:rsidRPr="00A14819" w:rsidRDefault="00E750E4" w:rsidP="00871A65">
      <w:pPr>
        <w:pStyle w:val="BodyText1"/>
        <w:ind w:left="360"/>
        <w:rPr>
          <w:i/>
          <w:iCs/>
          <w:color w:val="FF0000"/>
        </w:rPr>
      </w:pPr>
      <w:r w:rsidRPr="00A14819">
        <w:t xml:space="preserve">For the avoidance of doubt, this document is in a non-binding form.  Its intention is to be used as a starting point for negotiation only.  Individual parties are free to depart from its terms and should always satisfy themselves </w:t>
      </w:r>
      <w:r w:rsidR="00A03C13">
        <w:t>as to</w:t>
      </w:r>
      <w:r w:rsidRPr="00A14819">
        <w:t xml:space="preserve"> the regulatory implications of its use.</w:t>
      </w:r>
    </w:p>
    <w:p w14:paraId="17877F72" w14:textId="77777777" w:rsidR="00871A65" w:rsidRPr="00A14819" w:rsidRDefault="00886F7F" w:rsidP="00871A65">
      <w:pPr>
        <w:pStyle w:val="General2L1"/>
        <w:numPr>
          <w:ilvl w:val="0"/>
          <w:numId w:val="46"/>
        </w:numPr>
        <w:rPr>
          <w:szCs w:val="24"/>
        </w:rPr>
      </w:pPr>
      <w:r w:rsidRPr="00A14819">
        <w:rPr>
          <w:szCs w:val="24"/>
        </w:rPr>
        <w:t>KEY WORKING ASSUMPTIONS:</w:t>
      </w:r>
    </w:p>
    <w:p w14:paraId="05EDF271" w14:textId="7221B387" w:rsidR="005D0328" w:rsidRPr="00A14819" w:rsidRDefault="005D0328" w:rsidP="00381ED2">
      <w:pPr>
        <w:pStyle w:val="General2L1"/>
        <w:numPr>
          <w:ilvl w:val="1"/>
          <w:numId w:val="46"/>
        </w:numPr>
        <w:jc w:val="both"/>
        <w:rPr>
          <w:szCs w:val="24"/>
        </w:rPr>
      </w:pPr>
      <w:r w:rsidRPr="00A14819">
        <w:rPr>
          <w:szCs w:val="24"/>
        </w:rPr>
        <w:t xml:space="preserve">Assumptions with respect to </w:t>
      </w:r>
      <w:r w:rsidR="00886F7F" w:rsidRPr="00A14819">
        <w:rPr>
          <w:szCs w:val="24"/>
        </w:rPr>
        <w:t>Origination Stage Due Diligence</w:t>
      </w:r>
    </w:p>
    <w:p w14:paraId="797E033A" w14:textId="3B22F2F7" w:rsidR="00311C9A" w:rsidRPr="00A14819" w:rsidRDefault="00886F7F" w:rsidP="00A3788F">
      <w:pPr>
        <w:pStyle w:val="BodyText1"/>
        <w:ind w:left="360"/>
      </w:pPr>
      <w:r w:rsidRPr="00A14819">
        <w:t>It is</w:t>
      </w:r>
      <w:r w:rsidR="00547B69" w:rsidRPr="00A14819">
        <w:t xml:space="preserve"> assumed that ESG due diligence and assessment will be carried out prior to financial close</w:t>
      </w:r>
      <w:r w:rsidR="00BD1C9A">
        <w:t xml:space="preserve">, with any </w:t>
      </w:r>
      <w:r w:rsidR="00A00AE0" w:rsidRPr="00A14819">
        <w:t>Environmental and Social Action Plan (if any will be applicable as at financial close)</w:t>
      </w:r>
      <w:r w:rsidR="00BD1C9A">
        <w:t xml:space="preserve"> to be provided at this time.  Parties should also</w:t>
      </w:r>
      <w:r w:rsidR="00A00AE0" w:rsidRPr="00A14819">
        <w:t xml:space="preserve"> agree the form of </w:t>
      </w:r>
      <w:bookmarkStart w:id="4" w:name="_Hlk70423895"/>
      <w:r w:rsidR="00A00AE0" w:rsidRPr="00A14819">
        <w:t>Environmental and Social Monitoring Report</w:t>
      </w:r>
      <w:bookmarkEnd w:id="4"/>
      <w:r w:rsidR="00A00AE0" w:rsidRPr="00A14819">
        <w:t>.</w:t>
      </w:r>
    </w:p>
    <w:p w14:paraId="625512EC" w14:textId="0C571F9D" w:rsidR="008E7447" w:rsidRPr="00A14819" w:rsidRDefault="00FE1556" w:rsidP="00381ED2">
      <w:pPr>
        <w:pStyle w:val="General2L1"/>
        <w:numPr>
          <w:ilvl w:val="1"/>
          <w:numId w:val="46"/>
        </w:numPr>
        <w:jc w:val="both"/>
        <w:rPr>
          <w:szCs w:val="24"/>
        </w:rPr>
      </w:pPr>
      <w:r w:rsidRPr="00A14819">
        <w:rPr>
          <w:szCs w:val="24"/>
        </w:rPr>
        <w:t xml:space="preserve">Assumptions with </w:t>
      </w:r>
      <w:r w:rsidR="00886F7F" w:rsidRPr="00A14819">
        <w:rPr>
          <w:szCs w:val="24"/>
        </w:rPr>
        <w:t xml:space="preserve">respect to the </w:t>
      </w:r>
      <w:r w:rsidR="006965AE" w:rsidRPr="00A14819">
        <w:rPr>
          <w:szCs w:val="24"/>
        </w:rPr>
        <w:t xml:space="preserve">provisions in the </w:t>
      </w:r>
      <w:r w:rsidR="000E6EC9" w:rsidRPr="00A14819">
        <w:rPr>
          <w:szCs w:val="24"/>
        </w:rPr>
        <w:t>ESG Covenant Package</w:t>
      </w:r>
    </w:p>
    <w:p w14:paraId="5865626E" w14:textId="602739BB" w:rsidR="00854686" w:rsidRPr="00A14819" w:rsidRDefault="00854686" w:rsidP="00364A31">
      <w:pPr>
        <w:pStyle w:val="ListParagraph"/>
        <w:numPr>
          <w:ilvl w:val="0"/>
          <w:numId w:val="21"/>
        </w:numPr>
        <w:snapToGrid w:val="0"/>
        <w:spacing w:before="120" w:after="120"/>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Terms defined in the definitions section of the </w:t>
      </w:r>
      <w:r w:rsidR="00364A31" w:rsidRPr="00A14819">
        <w:rPr>
          <w:rFonts w:ascii="Times New Roman" w:hAnsi="Times New Roman" w:cs="Times New Roman"/>
          <w:sz w:val="24"/>
          <w:szCs w:val="24"/>
        </w:rPr>
        <w:t>ESG Covenant Package</w:t>
      </w:r>
      <w:r w:rsidRPr="00A14819">
        <w:rPr>
          <w:rFonts w:ascii="Times New Roman" w:hAnsi="Times New Roman" w:cs="Times New Roman"/>
          <w:sz w:val="24"/>
          <w:szCs w:val="24"/>
        </w:rPr>
        <w:t xml:space="preserve"> below have the same meaning when used in this note. Defined terms in square brackets have not been defined in this note or the </w:t>
      </w:r>
      <w:r w:rsidR="00364A31" w:rsidRPr="00A14819">
        <w:rPr>
          <w:rFonts w:ascii="Times New Roman" w:hAnsi="Times New Roman" w:cs="Times New Roman"/>
          <w:sz w:val="24"/>
          <w:szCs w:val="24"/>
        </w:rPr>
        <w:t>ESG Covenant Package</w:t>
      </w:r>
      <w:r w:rsidRPr="00A14819">
        <w:rPr>
          <w:rFonts w:ascii="Times New Roman" w:hAnsi="Times New Roman" w:cs="Times New Roman"/>
          <w:sz w:val="24"/>
          <w:szCs w:val="24"/>
        </w:rPr>
        <w:t xml:space="preserve"> and need to be aligned with the drafting of the relevant </w:t>
      </w:r>
      <w:r w:rsidR="008A3E45">
        <w:rPr>
          <w:rFonts w:ascii="Times New Roman" w:hAnsi="Times New Roman" w:cs="Times New Roman"/>
          <w:sz w:val="24"/>
          <w:szCs w:val="24"/>
        </w:rPr>
        <w:t>f</w:t>
      </w:r>
      <w:r w:rsidRPr="00A14819">
        <w:rPr>
          <w:rFonts w:ascii="Times New Roman" w:hAnsi="Times New Roman" w:cs="Times New Roman"/>
          <w:sz w:val="24"/>
          <w:szCs w:val="24"/>
        </w:rPr>
        <w:t xml:space="preserve">acilities </w:t>
      </w:r>
      <w:r w:rsidR="008A3E45">
        <w:rPr>
          <w:rFonts w:ascii="Times New Roman" w:hAnsi="Times New Roman" w:cs="Times New Roman"/>
          <w:sz w:val="24"/>
          <w:szCs w:val="24"/>
        </w:rPr>
        <w:t>a</w:t>
      </w:r>
      <w:r w:rsidRPr="00A14819">
        <w:rPr>
          <w:rFonts w:ascii="Times New Roman" w:hAnsi="Times New Roman" w:cs="Times New Roman"/>
          <w:sz w:val="24"/>
          <w:szCs w:val="24"/>
        </w:rPr>
        <w:t>greement (“</w:t>
      </w:r>
      <w:r w:rsidRPr="00A14819">
        <w:rPr>
          <w:rFonts w:ascii="Times New Roman" w:hAnsi="Times New Roman" w:cs="Times New Roman"/>
          <w:b/>
          <w:bCs/>
          <w:sz w:val="24"/>
          <w:szCs w:val="24"/>
        </w:rPr>
        <w:t>FA</w:t>
      </w:r>
      <w:r w:rsidRPr="00A14819">
        <w:rPr>
          <w:rFonts w:ascii="Times New Roman" w:hAnsi="Times New Roman" w:cs="Times New Roman"/>
          <w:sz w:val="24"/>
          <w:szCs w:val="24"/>
        </w:rPr>
        <w:t>”) for the relevant transaction.</w:t>
      </w:r>
    </w:p>
    <w:p w14:paraId="62845FFB" w14:textId="422D89E1" w:rsidR="006965AE" w:rsidRPr="00A14819" w:rsidRDefault="00311C9A" w:rsidP="0048415E">
      <w:pPr>
        <w:pStyle w:val="ListParagraph"/>
        <w:numPr>
          <w:ilvl w:val="0"/>
          <w:numId w:val="21"/>
        </w:numPr>
        <w:snapToGrid w:val="0"/>
        <w:spacing w:before="120" w:after="120"/>
        <w:contextualSpacing w:val="0"/>
        <w:jc w:val="both"/>
        <w:rPr>
          <w:rFonts w:ascii="Times New Roman" w:hAnsi="Times New Roman" w:cs="Times New Roman"/>
          <w:sz w:val="24"/>
          <w:szCs w:val="24"/>
        </w:rPr>
      </w:pPr>
      <w:r w:rsidRPr="00A14819">
        <w:rPr>
          <w:rFonts w:ascii="Times New Roman" w:hAnsi="Times New Roman" w:cs="Times New Roman"/>
          <w:sz w:val="24"/>
          <w:szCs w:val="24"/>
        </w:rPr>
        <w:lastRenderedPageBreak/>
        <w:t xml:space="preserve">The </w:t>
      </w:r>
      <w:r w:rsidR="000E6EC9" w:rsidRPr="00A14819">
        <w:rPr>
          <w:rFonts w:ascii="Times New Roman" w:hAnsi="Times New Roman" w:cs="Times New Roman"/>
          <w:sz w:val="24"/>
          <w:szCs w:val="24"/>
        </w:rPr>
        <w:t>ESG Covenant Package</w:t>
      </w:r>
      <w:r w:rsidRPr="00A14819">
        <w:rPr>
          <w:rFonts w:ascii="Times New Roman" w:hAnsi="Times New Roman" w:cs="Times New Roman"/>
          <w:sz w:val="24"/>
          <w:szCs w:val="24"/>
        </w:rPr>
        <w:t xml:space="preserve"> primarily focuses on ESG reporting obligations. </w:t>
      </w:r>
      <w:r w:rsidR="006965AE" w:rsidRPr="00A14819">
        <w:rPr>
          <w:rFonts w:ascii="Times New Roman" w:hAnsi="Times New Roman" w:cs="Times New Roman"/>
          <w:sz w:val="24"/>
          <w:szCs w:val="24"/>
        </w:rPr>
        <w:t>The reporting obligations of the [Borrower] in relation to ESG will consist of:</w:t>
      </w:r>
    </w:p>
    <w:p w14:paraId="0B6301D2" w14:textId="2AE5C392" w:rsidR="006965AE" w:rsidRPr="00A14819" w:rsidRDefault="002272B1" w:rsidP="006965AE">
      <w:pPr>
        <w:pStyle w:val="ListParagraph"/>
        <w:numPr>
          <w:ilvl w:val="0"/>
          <w:numId w:val="20"/>
        </w:numPr>
        <w:snapToGrid w:val="0"/>
        <w:spacing w:before="120"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965AE" w:rsidRPr="00A14819">
        <w:rPr>
          <w:rFonts w:ascii="Times New Roman" w:hAnsi="Times New Roman" w:cs="Times New Roman"/>
          <w:color w:val="000000" w:themeColor="text1"/>
          <w:sz w:val="24"/>
          <w:szCs w:val="24"/>
        </w:rPr>
        <w:t>he Environmental and Social Monitoring Report</w:t>
      </w:r>
      <w:r w:rsidR="00A14819">
        <w:rPr>
          <w:rFonts w:ascii="Times New Roman" w:hAnsi="Times New Roman" w:cs="Times New Roman"/>
          <w:color w:val="000000" w:themeColor="text1"/>
          <w:sz w:val="24"/>
          <w:szCs w:val="24"/>
        </w:rPr>
        <w:t>; and</w:t>
      </w:r>
      <w:r w:rsidR="006965AE" w:rsidRPr="00A14819">
        <w:rPr>
          <w:rFonts w:ascii="Times New Roman" w:hAnsi="Times New Roman" w:cs="Times New Roman"/>
          <w:color w:val="000000" w:themeColor="text1"/>
          <w:sz w:val="24"/>
          <w:szCs w:val="24"/>
        </w:rPr>
        <w:t xml:space="preserve"> </w:t>
      </w:r>
    </w:p>
    <w:p w14:paraId="70497C66" w14:textId="65F9CDA1" w:rsidR="006965AE" w:rsidRPr="00A14819" w:rsidRDefault="002272B1" w:rsidP="006965AE">
      <w:pPr>
        <w:pStyle w:val="ListParagraph"/>
        <w:numPr>
          <w:ilvl w:val="0"/>
          <w:numId w:val="20"/>
        </w:numPr>
        <w:snapToGrid w:val="0"/>
        <w:spacing w:before="120" w:after="120"/>
        <w:ind w:left="107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965AE" w:rsidRPr="00A14819">
        <w:rPr>
          <w:rFonts w:ascii="Times New Roman" w:hAnsi="Times New Roman" w:cs="Times New Roman"/>
          <w:color w:val="000000" w:themeColor="text1"/>
          <w:sz w:val="24"/>
          <w:szCs w:val="24"/>
        </w:rPr>
        <w:t>d hoc reporting in respect to certain issues</w:t>
      </w:r>
      <w:r w:rsidR="00A14819">
        <w:rPr>
          <w:rFonts w:ascii="Times New Roman" w:hAnsi="Times New Roman" w:cs="Times New Roman"/>
          <w:color w:val="000000" w:themeColor="text1"/>
          <w:sz w:val="24"/>
          <w:szCs w:val="24"/>
        </w:rPr>
        <w:t>.</w:t>
      </w:r>
    </w:p>
    <w:p w14:paraId="47CFFCD7" w14:textId="1882384A" w:rsidR="00383673" w:rsidRPr="00A14819" w:rsidRDefault="00311C9A" w:rsidP="0048415E">
      <w:pPr>
        <w:pStyle w:val="ListParagraph"/>
        <w:numPr>
          <w:ilvl w:val="0"/>
          <w:numId w:val="21"/>
        </w:numPr>
        <w:snapToGrid w:val="0"/>
        <w:spacing w:before="120" w:after="12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To ensure consistency across all EU and UK projects, the </w:t>
      </w:r>
      <w:r w:rsidR="000E6EC9" w:rsidRPr="00A14819">
        <w:rPr>
          <w:rFonts w:ascii="Times New Roman" w:hAnsi="Times New Roman" w:cs="Times New Roman"/>
          <w:color w:val="000000" w:themeColor="text1"/>
          <w:sz w:val="24"/>
          <w:szCs w:val="24"/>
        </w:rPr>
        <w:t>ESG Covenant Package</w:t>
      </w:r>
      <w:r w:rsidRPr="00A14819">
        <w:rPr>
          <w:rFonts w:ascii="Times New Roman" w:hAnsi="Times New Roman" w:cs="Times New Roman"/>
          <w:color w:val="000000" w:themeColor="text1"/>
          <w:sz w:val="24"/>
          <w:szCs w:val="24"/>
        </w:rPr>
        <w:t xml:space="preserve"> is primarily based on the requirements of Regulation (EU) 2019/2088 </w:t>
      </w:r>
      <w:r w:rsidR="0048415E" w:rsidRPr="00A14819">
        <w:rPr>
          <w:rFonts w:ascii="Times New Roman" w:hAnsi="Times New Roman" w:cs="Times New Roman"/>
          <w:color w:val="000000" w:themeColor="text1"/>
          <w:sz w:val="24"/>
          <w:szCs w:val="24"/>
        </w:rPr>
        <w:t>o</w:t>
      </w:r>
      <w:r w:rsidRPr="00A14819">
        <w:rPr>
          <w:rFonts w:ascii="Times New Roman" w:hAnsi="Times New Roman" w:cs="Times New Roman"/>
          <w:color w:val="000000" w:themeColor="text1"/>
          <w:sz w:val="24"/>
          <w:szCs w:val="24"/>
        </w:rPr>
        <w:t xml:space="preserve">f the European Parliament and of the Council of 27 November 2019 on sustainability‐related disclosures in the financial services sector (the </w:t>
      </w:r>
      <w:r w:rsidR="008F224C">
        <w:rPr>
          <w:rFonts w:ascii="Times New Roman" w:hAnsi="Times New Roman" w:cs="Times New Roman"/>
          <w:color w:val="000000" w:themeColor="text1"/>
          <w:sz w:val="24"/>
          <w:szCs w:val="24"/>
        </w:rPr>
        <w:t>"</w:t>
      </w:r>
      <w:r w:rsidRPr="00A14819">
        <w:rPr>
          <w:rFonts w:ascii="Times New Roman" w:hAnsi="Times New Roman" w:cs="Times New Roman"/>
          <w:b/>
          <w:bCs/>
          <w:color w:val="000000" w:themeColor="text1"/>
          <w:sz w:val="24"/>
          <w:szCs w:val="24"/>
        </w:rPr>
        <w:t>SFDR</w:t>
      </w:r>
      <w:r w:rsidR="008F224C" w:rsidRPr="008F224C">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 xml:space="preserve">). </w:t>
      </w:r>
      <w:r w:rsidR="00383673" w:rsidRPr="00A14819">
        <w:rPr>
          <w:rFonts w:ascii="Times New Roman" w:hAnsi="Times New Roman" w:cs="Times New Roman"/>
          <w:color w:val="000000" w:themeColor="text1"/>
          <w:sz w:val="24"/>
          <w:szCs w:val="24"/>
        </w:rPr>
        <w:t>There are two versions of the Environmental and Social Monitoring Report:</w:t>
      </w:r>
    </w:p>
    <w:p w14:paraId="4C5608B1" w14:textId="0B8C9D54" w:rsidR="00383673" w:rsidRDefault="00311C9A" w:rsidP="00383673">
      <w:pPr>
        <w:pStyle w:val="ListParagraph"/>
        <w:numPr>
          <w:ilvl w:val="0"/>
          <w:numId w:val="35"/>
        </w:numPr>
        <w:snapToGrid w:val="0"/>
        <w:spacing w:before="120" w:after="12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Version 1 of the Environmental and Social Monitoring Report is </w:t>
      </w:r>
      <w:r w:rsidR="00383673" w:rsidRPr="00A14819">
        <w:rPr>
          <w:rFonts w:ascii="Times New Roman" w:hAnsi="Times New Roman" w:cs="Times New Roman"/>
          <w:color w:val="000000" w:themeColor="text1"/>
          <w:sz w:val="24"/>
          <w:szCs w:val="24"/>
        </w:rPr>
        <w:t>based on (A) the indicators used for making p</w:t>
      </w:r>
      <w:r w:rsidRPr="00A14819">
        <w:rPr>
          <w:rFonts w:ascii="Times New Roman" w:hAnsi="Times New Roman" w:cs="Times New Roman"/>
          <w:color w:val="000000" w:themeColor="text1"/>
          <w:sz w:val="24"/>
          <w:szCs w:val="24"/>
        </w:rPr>
        <w:t>rincipal adverse sustainability impacts</w:t>
      </w:r>
      <w:r w:rsidR="00383673" w:rsidRPr="00A14819">
        <w:rPr>
          <w:rFonts w:ascii="Times New Roman" w:hAnsi="Times New Roman" w:cs="Times New Roman"/>
          <w:color w:val="000000" w:themeColor="text1"/>
          <w:sz w:val="24"/>
          <w:szCs w:val="24"/>
        </w:rPr>
        <w:t xml:space="preserve"> (</w:t>
      </w:r>
      <w:r w:rsidR="008F224C">
        <w:rPr>
          <w:rFonts w:ascii="Times New Roman" w:hAnsi="Times New Roman" w:cs="Times New Roman"/>
          <w:color w:val="000000" w:themeColor="text1"/>
          <w:sz w:val="24"/>
          <w:szCs w:val="24"/>
        </w:rPr>
        <w:t>"</w:t>
      </w:r>
      <w:r w:rsidR="00383673" w:rsidRPr="008F224C">
        <w:rPr>
          <w:rFonts w:ascii="Times New Roman" w:hAnsi="Times New Roman" w:cs="Times New Roman"/>
          <w:b/>
          <w:bCs/>
          <w:color w:val="000000" w:themeColor="text1"/>
          <w:sz w:val="24"/>
          <w:szCs w:val="24"/>
        </w:rPr>
        <w:t>PASI</w:t>
      </w:r>
      <w:r w:rsidR="008F224C">
        <w:rPr>
          <w:rFonts w:ascii="Times New Roman" w:hAnsi="Times New Roman" w:cs="Times New Roman"/>
          <w:b/>
          <w:bCs/>
          <w:color w:val="000000" w:themeColor="text1"/>
          <w:sz w:val="24"/>
          <w:szCs w:val="24"/>
        </w:rPr>
        <w:t>"</w:t>
      </w:r>
      <w:r w:rsidR="00383673" w:rsidRPr="00A14819">
        <w:rPr>
          <w:rFonts w:ascii="Times New Roman" w:hAnsi="Times New Roman" w:cs="Times New Roman"/>
          <w:color w:val="000000" w:themeColor="text1"/>
          <w:sz w:val="24"/>
          <w:szCs w:val="24"/>
        </w:rPr>
        <w:t xml:space="preserve">) statements </w:t>
      </w:r>
      <w:r w:rsidR="00B83896" w:rsidRPr="00A14819">
        <w:rPr>
          <w:rFonts w:ascii="Times New Roman" w:hAnsi="Times New Roman" w:cs="Times New Roman"/>
          <w:color w:val="000000" w:themeColor="text1"/>
          <w:sz w:val="24"/>
          <w:szCs w:val="24"/>
        </w:rPr>
        <w:t xml:space="preserve">as set out in Table 1 of the Final Report on draft Regulatory Technical Standards dated 2 February 2021 (the </w:t>
      </w:r>
      <w:r w:rsidR="008F224C">
        <w:rPr>
          <w:rFonts w:ascii="Times New Roman" w:hAnsi="Times New Roman" w:cs="Times New Roman"/>
          <w:color w:val="000000" w:themeColor="text1"/>
          <w:sz w:val="24"/>
          <w:szCs w:val="24"/>
        </w:rPr>
        <w:t>"</w:t>
      </w:r>
      <w:r w:rsidR="00B83896" w:rsidRPr="00A14819">
        <w:rPr>
          <w:rFonts w:ascii="Times New Roman" w:hAnsi="Times New Roman" w:cs="Times New Roman"/>
          <w:b/>
          <w:bCs/>
          <w:color w:val="000000" w:themeColor="text1"/>
          <w:sz w:val="24"/>
          <w:szCs w:val="24"/>
        </w:rPr>
        <w:t>RTS</w:t>
      </w:r>
      <w:r w:rsidR="008F224C">
        <w:rPr>
          <w:rFonts w:ascii="Times New Roman" w:hAnsi="Times New Roman" w:cs="Times New Roman"/>
          <w:color w:val="000000" w:themeColor="text1"/>
          <w:sz w:val="24"/>
          <w:szCs w:val="24"/>
        </w:rPr>
        <w:t>"</w:t>
      </w:r>
      <w:r w:rsidR="00B83896" w:rsidRPr="00A14819">
        <w:rPr>
          <w:rFonts w:ascii="Times New Roman" w:hAnsi="Times New Roman" w:cs="Times New Roman"/>
          <w:color w:val="000000" w:themeColor="text1"/>
          <w:sz w:val="24"/>
          <w:szCs w:val="24"/>
        </w:rPr>
        <w:t xml:space="preserve">) </w:t>
      </w:r>
      <w:r w:rsidR="00383673" w:rsidRPr="00A14819">
        <w:rPr>
          <w:rFonts w:ascii="Times New Roman" w:hAnsi="Times New Roman" w:cs="Times New Roman"/>
          <w:color w:val="000000" w:themeColor="text1"/>
          <w:sz w:val="24"/>
          <w:szCs w:val="24"/>
        </w:rPr>
        <w:t>and (B) the Task Force on Climate-Related Financial Disclosures (</w:t>
      </w:r>
      <w:r w:rsidR="00050269">
        <w:rPr>
          <w:rFonts w:ascii="Times New Roman" w:hAnsi="Times New Roman" w:cs="Times New Roman"/>
          <w:color w:val="000000" w:themeColor="text1"/>
          <w:sz w:val="24"/>
          <w:szCs w:val="24"/>
        </w:rPr>
        <w:t>"</w:t>
      </w:r>
      <w:r w:rsidR="00383673" w:rsidRPr="00050269">
        <w:rPr>
          <w:rFonts w:ascii="Times New Roman" w:hAnsi="Times New Roman" w:cs="Times New Roman"/>
          <w:b/>
          <w:bCs/>
          <w:color w:val="000000" w:themeColor="text1"/>
          <w:sz w:val="24"/>
          <w:szCs w:val="24"/>
        </w:rPr>
        <w:t>TCFD</w:t>
      </w:r>
      <w:r w:rsidR="00050269">
        <w:rPr>
          <w:rFonts w:ascii="Times New Roman" w:hAnsi="Times New Roman" w:cs="Times New Roman"/>
          <w:color w:val="000000" w:themeColor="text1"/>
          <w:sz w:val="24"/>
          <w:szCs w:val="24"/>
        </w:rPr>
        <w:t>"</w:t>
      </w:r>
      <w:r w:rsidR="00383673" w:rsidRPr="00A14819">
        <w:rPr>
          <w:rFonts w:ascii="Times New Roman" w:hAnsi="Times New Roman" w:cs="Times New Roman"/>
          <w:color w:val="000000" w:themeColor="text1"/>
          <w:sz w:val="24"/>
          <w:szCs w:val="24"/>
        </w:rPr>
        <w:t>)</w:t>
      </w:r>
      <w:r w:rsidR="00DB3CF1" w:rsidRPr="00A14819">
        <w:rPr>
          <w:rFonts w:ascii="Times New Roman" w:hAnsi="Times New Roman" w:cs="Times New Roman"/>
          <w:color w:val="000000" w:themeColor="text1"/>
          <w:sz w:val="24"/>
          <w:szCs w:val="24"/>
        </w:rPr>
        <w:t xml:space="preserve"> along with (C) certain other key ESG Policies, Health &amp; Safety and ESG Incident Monitoring </w:t>
      </w:r>
      <w:r w:rsidR="000E6EC9" w:rsidRPr="00A14819">
        <w:rPr>
          <w:rFonts w:ascii="Times New Roman" w:hAnsi="Times New Roman" w:cs="Times New Roman"/>
          <w:color w:val="000000" w:themeColor="text1"/>
          <w:sz w:val="24"/>
          <w:szCs w:val="24"/>
        </w:rPr>
        <w:t xml:space="preserve">information </w:t>
      </w:r>
      <w:r w:rsidR="00DB3CF1" w:rsidRPr="00A14819">
        <w:rPr>
          <w:rFonts w:ascii="Times New Roman" w:hAnsi="Times New Roman" w:cs="Times New Roman"/>
          <w:color w:val="000000" w:themeColor="text1"/>
          <w:sz w:val="24"/>
          <w:szCs w:val="24"/>
        </w:rPr>
        <w:t>require</w:t>
      </w:r>
      <w:r w:rsidR="000E6EC9" w:rsidRPr="00A14819">
        <w:rPr>
          <w:rFonts w:ascii="Times New Roman" w:hAnsi="Times New Roman" w:cs="Times New Roman"/>
          <w:color w:val="000000" w:themeColor="text1"/>
          <w:sz w:val="24"/>
          <w:szCs w:val="24"/>
        </w:rPr>
        <w:t>d by lenders</w:t>
      </w:r>
      <w:r w:rsidR="00383673" w:rsidRPr="00A14819">
        <w:rPr>
          <w:rFonts w:ascii="Times New Roman" w:hAnsi="Times New Roman" w:cs="Times New Roman"/>
          <w:color w:val="000000" w:themeColor="text1"/>
          <w:sz w:val="24"/>
          <w:szCs w:val="24"/>
        </w:rPr>
        <w:t>. Th</w:t>
      </w:r>
      <w:r w:rsidR="00B83896" w:rsidRPr="00A14819">
        <w:rPr>
          <w:rFonts w:ascii="Times New Roman" w:hAnsi="Times New Roman" w:cs="Times New Roman"/>
          <w:color w:val="000000" w:themeColor="text1"/>
          <w:sz w:val="24"/>
          <w:szCs w:val="24"/>
        </w:rPr>
        <w:t>e intention is that this would apply to</w:t>
      </w:r>
      <w:r w:rsidR="00625DC7" w:rsidRPr="00A14819">
        <w:rPr>
          <w:rFonts w:ascii="Times New Roman" w:hAnsi="Times New Roman" w:cs="Times New Roman"/>
          <w:color w:val="000000" w:themeColor="text1"/>
          <w:sz w:val="24"/>
          <w:szCs w:val="24"/>
        </w:rPr>
        <w:t xml:space="preserve"> all</w:t>
      </w:r>
      <w:r w:rsidR="00383673" w:rsidRPr="00A14819">
        <w:rPr>
          <w:rFonts w:ascii="Times New Roman" w:hAnsi="Times New Roman" w:cs="Times New Roman"/>
          <w:color w:val="000000" w:themeColor="text1"/>
          <w:sz w:val="24"/>
          <w:szCs w:val="24"/>
        </w:rPr>
        <w:t xml:space="preserve"> financial market participant</w:t>
      </w:r>
      <w:r w:rsidR="00B83896" w:rsidRPr="00A14819">
        <w:rPr>
          <w:rFonts w:ascii="Times New Roman" w:hAnsi="Times New Roman" w:cs="Times New Roman"/>
          <w:color w:val="000000" w:themeColor="text1"/>
          <w:sz w:val="24"/>
          <w:szCs w:val="24"/>
        </w:rPr>
        <w:t>s</w:t>
      </w:r>
      <w:r w:rsidR="00383673" w:rsidRPr="00A14819">
        <w:rPr>
          <w:rFonts w:ascii="Times New Roman" w:hAnsi="Times New Roman" w:cs="Times New Roman"/>
          <w:color w:val="000000" w:themeColor="text1"/>
          <w:sz w:val="24"/>
          <w:szCs w:val="24"/>
        </w:rPr>
        <w:t xml:space="preserve"> </w:t>
      </w:r>
      <w:r w:rsidR="00B83896" w:rsidRPr="00A14819">
        <w:rPr>
          <w:rFonts w:ascii="Times New Roman" w:hAnsi="Times New Roman" w:cs="Times New Roman"/>
          <w:color w:val="000000" w:themeColor="text1"/>
          <w:sz w:val="24"/>
          <w:szCs w:val="24"/>
        </w:rPr>
        <w:t xml:space="preserve">(defined </w:t>
      </w:r>
      <w:r w:rsidR="00383673" w:rsidRPr="00A14819">
        <w:rPr>
          <w:rFonts w:ascii="Times New Roman" w:hAnsi="Times New Roman" w:cs="Times New Roman"/>
          <w:color w:val="000000" w:themeColor="text1"/>
          <w:sz w:val="24"/>
          <w:szCs w:val="24"/>
        </w:rPr>
        <w:t>under the SFDR</w:t>
      </w:r>
      <w:r w:rsidR="00B83896" w:rsidRPr="00A14819">
        <w:rPr>
          <w:rFonts w:ascii="Times New Roman" w:hAnsi="Times New Roman" w:cs="Times New Roman"/>
          <w:color w:val="000000" w:themeColor="text1"/>
          <w:sz w:val="24"/>
          <w:szCs w:val="24"/>
        </w:rPr>
        <w:t>)</w:t>
      </w:r>
      <w:r w:rsidR="00383673" w:rsidRPr="00A14819">
        <w:rPr>
          <w:rFonts w:ascii="Times New Roman" w:hAnsi="Times New Roman" w:cs="Times New Roman"/>
          <w:color w:val="000000" w:themeColor="text1"/>
          <w:sz w:val="24"/>
          <w:szCs w:val="24"/>
        </w:rPr>
        <w:t>.</w:t>
      </w:r>
    </w:p>
    <w:p w14:paraId="04943891" w14:textId="77777777" w:rsidR="008F224C" w:rsidRPr="00A14819" w:rsidRDefault="008F224C" w:rsidP="008F224C">
      <w:pPr>
        <w:pStyle w:val="ListParagraph"/>
        <w:snapToGrid w:val="0"/>
        <w:spacing w:before="120" w:after="120"/>
        <w:ind w:left="1440"/>
        <w:jc w:val="both"/>
        <w:rPr>
          <w:rFonts w:ascii="Times New Roman" w:hAnsi="Times New Roman" w:cs="Times New Roman"/>
          <w:color w:val="000000" w:themeColor="text1"/>
          <w:sz w:val="24"/>
          <w:szCs w:val="24"/>
        </w:rPr>
      </w:pPr>
    </w:p>
    <w:p w14:paraId="65EE1C65" w14:textId="72A6E701" w:rsidR="00311C9A" w:rsidRDefault="00383673" w:rsidP="00625DC7">
      <w:pPr>
        <w:pStyle w:val="ListParagraph"/>
        <w:numPr>
          <w:ilvl w:val="0"/>
          <w:numId w:val="35"/>
        </w:numPr>
        <w:snapToGrid w:val="0"/>
        <w:spacing w:before="120" w:after="12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Version 2 of the Environmental and Social Monitoring Report is broader and contains not only the elements in Version 1 described above, but also </w:t>
      </w:r>
      <w:r w:rsidR="00854686" w:rsidRPr="00A14819">
        <w:rPr>
          <w:rFonts w:ascii="Times New Roman" w:hAnsi="Times New Roman" w:cs="Times New Roman"/>
          <w:color w:val="000000" w:themeColor="text1"/>
          <w:sz w:val="24"/>
          <w:szCs w:val="24"/>
        </w:rPr>
        <w:t xml:space="preserve">(A) </w:t>
      </w:r>
      <w:r w:rsidRPr="00A14819">
        <w:rPr>
          <w:rFonts w:ascii="Times New Roman" w:hAnsi="Times New Roman" w:cs="Times New Roman"/>
          <w:color w:val="000000" w:themeColor="text1"/>
          <w:sz w:val="24"/>
          <w:szCs w:val="24"/>
        </w:rPr>
        <w:t>the</w:t>
      </w:r>
      <w:r w:rsidR="00B83896" w:rsidRPr="00A14819">
        <w:rPr>
          <w:rFonts w:ascii="Times New Roman" w:hAnsi="Times New Roman" w:cs="Times New Roman"/>
          <w:color w:val="000000" w:themeColor="text1"/>
          <w:sz w:val="24"/>
          <w:szCs w:val="24"/>
        </w:rPr>
        <w:t xml:space="preserve"> additional indicators in Tables 2 and 3 of the RTS</w:t>
      </w:r>
      <w:r w:rsidR="00625DC7" w:rsidRPr="00A14819">
        <w:rPr>
          <w:rFonts w:ascii="Times New Roman" w:hAnsi="Times New Roman" w:cs="Times New Roman"/>
          <w:color w:val="000000" w:themeColor="text1"/>
          <w:sz w:val="24"/>
          <w:szCs w:val="24"/>
        </w:rPr>
        <w:t>, which are optional indicators. The intention is a lender would decide which optional indicator(s) from Tables 2 and 3 of the RTS that it wishes to report against, which would apply to the relevant [</w:t>
      </w:r>
      <w:r w:rsidR="00EE5B74">
        <w:rPr>
          <w:rFonts w:ascii="Times New Roman" w:hAnsi="Times New Roman" w:cs="Times New Roman"/>
          <w:color w:val="000000" w:themeColor="text1"/>
          <w:sz w:val="24"/>
          <w:szCs w:val="24"/>
        </w:rPr>
        <w:t>Project</w:t>
      </w:r>
      <w:r w:rsidR="004E4F46">
        <w:rPr>
          <w:rStyle w:val="FootnoteReference"/>
          <w:color w:val="000000" w:themeColor="text1"/>
        </w:rPr>
        <w:footnoteReference w:id="3"/>
      </w:r>
      <w:r w:rsidR="00625DC7" w:rsidRPr="00A14819">
        <w:rPr>
          <w:rFonts w:ascii="Times New Roman" w:hAnsi="Times New Roman" w:cs="Times New Roman"/>
          <w:color w:val="000000" w:themeColor="text1"/>
          <w:sz w:val="24"/>
          <w:szCs w:val="24"/>
        </w:rPr>
        <w:t>] /[Borrower], and amend Version 2 accordingly.</w:t>
      </w:r>
    </w:p>
    <w:p w14:paraId="6946ECD9" w14:textId="77777777" w:rsidR="00521118" w:rsidRPr="00A14819" w:rsidRDefault="00521118" w:rsidP="00521118">
      <w:pPr>
        <w:pStyle w:val="ListParagraph"/>
        <w:snapToGrid w:val="0"/>
        <w:spacing w:before="120" w:after="120"/>
        <w:ind w:left="1440"/>
        <w:jc w:val="both"/>
        <w:rPr>
          <w:rFonts w:ascii="Times New Roman" w:hAnsi="Times New Roman" w:cs="Times New Roman"/>
          <w:color w:val="000000" w:themeColor="text1"/>
          <w:sz w:val="24"/>
          <w:szCs w:val="24"/>
        </w:rPr>
      </w:pPr>
    </w:p>
    <w:p w14:paraId="4E364E37" w14:textId="51484B0A" w:rsidR="006965AE" w:rsidRPr="00A14819" w:rsidRDefault="006965AE" w:rsidP="00383673">
      <w:pPr>
        <w:pStyle w:val="ListParagraph"/>
        <w:numPr>
          <w:ilvl w:val="0"/>
          <w:numId w:val="35"/>
        </w:numPr>
        <w:snapToGrid w:val="0"/>
        <w:spacing w:before="120" w:after="12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The Environmental and Social Action Plan is comprised of </w:t>
      </w:r>
      <w:r w:rsidR="0048415E" w:rsidRPr="00A14819">
        <w:rPr>
          <w:rFonts w:ascii="Times New Roman" w:hAnsi="Times New Roman" w:cs="Times New Roman"/>
          <w:color w:val="000000" w:themeColor="text1"/>
          <w:sz w:val="24"/>
          <w:szCs w:val="24"/>
        </w:rPr>
        <w:t>(A)</w:t>
      </w:r>
      <w:r w:rsidRPr="00A14819">
        <w:rPr>
          <w:rFonts w:ascii="Times New Roman" w:hAnsi="Times New Roman" w:cs="Times New Roman"/>
          <w:color w:val="000000" w:themeColor="text1"/>
          <w:sz w:val="24"/>
          <w:szCs w:val="24"/>
        </w:rPr>
        <w:t xml:space="preserve"> policies referred to in the Environmental and Social Monitoring Report that are </w:t>
      </w:r>
      <w:r w:rsidR="0048415E" w:rsidRPr="00A14819">
        <w:rPr>
          <w:rFonts w:ascii="Times New Roman" w:hAnsi="Times New Roman" w:cs="Times New Roman"/>
          <w:color w:val="000000" w:themeColor="text1"/>
          <w:sz w:val="24"/>
          <w:szCs w:val="24"/>
        </w:rPr>
        <w:t>delivered together with the Environmental and Social Monitoring Report</w:t>
      </w:r>
      <w:r w:rsidRPr="00A14819">
        <w:rPr>
          <w:rFonts w:ascii="Times New Roman" w:hAnsi="Times New Roman" w:cs="Times New Roman"/>
          <w:color w:val="000000" w:themeColor="text1"/>
          <w:sz w:val="24"/>
          <w:szCs w:val="24"/>
        </w:rPr>
        <w:t xml:space="preserve"> and </w:t>
      </w:r>
      <w:r w:rsidR="0048415E" w:rsidRPr="00A14819">
        <w:rPr>
          <w:rFonts w:ascii="Times New Roman" w:hAnsi="Times New Roman" w:cs="Times New Roman"/>
          <w:color w:val="000000" w:themeColor="text1"/>
          <w:sz w:val="24"/>
          <w:szCs w:val="24"/>
        </w:rPr>
        <w:t xml:space="preserve">(B) </w:t>
      </w:r>
      <w:r w:rsidRPr="00A14819">
        <w:rPr>
          <w:rFonts w:ascii="Times New Roman" w:hAnsi="Times New Roman" w:cs="Times New Roman"/>
          <w:color w:val="000000" w:themeColor="text1"/>
          <w:sz w:val="24"/>
          <w:szCs w:val="24"/>
        </w:rPr>
        <w:t xml:space="preserve">policies required to satisfy the requirements of applicable planning approval. </w:t>
      </w:r>
    </w:p>
    <w:p w14:paraId="027524CE" w14:textId="05FC1F27" w:rsidR="00203740" w:rsidRPr="00A14819" w:rsidRDefault="00203740" w:rsidP="006965AE">
      <w:pPr>
        <w:pStyle w:val="ListParagraph"/>
        <w:numPr>
          <w:ilvl w:val="0"/>
          <w:numId w:val="21"/>
        </w:numPr>
        <w:snapToGrid w:val="0"/>
        <w:spacing w:before="120" w:after="120"/>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Other </w:t>
      </w:r>
      <w:r w:rsidRPr="00A14819">
        <w:rPr>
          <w:rFonts w:ascii="Times New Roman" w:hAnsi="Times New Roman" w:cs="Times New Roman"/>
          <w:color w:val="000000" w:themeColor="text1"/>
          <w:sz w:val="24"/>
          <w:szCs w:val="24"/>
        </w:rPr>
        <w:t>controls</w:t>
      </w:r>
      <w:r w:rsidRPr="00A14819">
        <w:rPr>
          <w:rFonts w:ascii="Times New Roman" w:hAnsi="Times New Roman" w:cs="Times New Roman"/>
          <w:sz w:val="24"/>
          <w:szCs w:val="24"/>
        </w:rPr>
        <w:t xml:space="preserve"> </w:t>
      </w:r>
      <w:r w:rsidR="00B31A64" w:rsidRPr="00A14819">
        <w:rPr>
          <w:rFonts w:ascii="Times New Roman" w:hAnsi="Times New Roman" w:cs="Times New Roman"/>
          <w:sz w:val="24"/>
          <w:szCs w:val="24"/>
        </w:rPr>
        <w:t>that complement</w:t>
      </w:r>
      <w:r w:rsidRPr="00A14819">
        <w:rPr>
          <w:rFonts w:ascii="Times New Roman" w:hAnsi="Times New Roman" w:cs="Times New Roman"/>
          <w:sz w:val="24"/>
          <w:szCs w:val="24"/>
        </w:rPr>
        <w:t xml:space="preserve"> ESG</w:t>
      </w:r>
      <w:r w:rsidR="00B31A64" w:rsidRPr="00A14819">
        <w:rPr>
          <w:rFonts w:ascii="Times New Roman" w:hAnsi="Times New Roman" w:cs="Times New Roman"/>
          <w:sz w:val="24"/>
          <w:szCs w:val="24"/>
        </w:rPr>
        <w:t xml:space="preserve"> reporting obligations</w:t>
      </w:r>
      <w:r w:rsidRPr="00A14819">
        <w:rPr>
          <w:rFonts w:ascii="Times New Roman" w:hAnsi="Times New Roman" w:cs="Times New Roman"/>
          <w:sz w:val="24"/>
          <w:szCs w:val="24"/>
        </w:rPr>
        <w:t xml:space="preserve"> </w:t>
      </w:r>
      <w:r w:rsidR="00311C9A" w:rsidRPr="00A14819">
        <w:rPr>
          <w:rFonts w:ascii="Times New Roman" w:hAnsi="Times New Roman" w:cs="Times New Roman"/>
          <w:sz w:val="24"/>
          <w:szCs w:val="24"/>
        </w:rPr>
        <w:t xml:space="preserve">in the </w:t>
      </w:r>
      <w:r w:rsidR="000E6EC9" w:rsidRPr="00A14819">
        <w:rPr>
          <w:rFonts w:ascii="Times New Roman" w:hAnsi="Times New Roman" w:cs="Times New Roman"/>
          <w:sz w:val="24"/>
          <w:szCs w:val="24"/>
        </w:rPr>
        <w:t>ESG Covenant Package</w:t>
      </w:r>
      <w:r w:rsidR="00311C9A" w:rsidRPr="00A14819">
        <w:rPr>
          <w:rFonts w:ascii="Times New Roman" w:hAnsi="Times New Roman" w:cs="Times New Roman"/>
          <w:sz w:val="24"/>
          <w:szCs w:val="24"/>
        </w:rPr>
        <w:t xml:space="preserve">, </w:t>
      </w:r>
      <w:r w:rsidRPr="00A14819">
        <w:rPr>
          <w:rFonts w:ascii="Times New Roman" w:hAnsi="Times New Roman" w:cs="Times New Roman"/>
          <w:sz w:val="24"/>
          <w:szCs w:val="24"/>
        </w:rPr>
        <w:t xml:space="preserve">to be considered for incorporation into </w:t>
      </w:r>
      <w:r w:rsidR="0048415E" w:rsidRPr="00A14819">
        <w:rPr>
          <w:rFonts w:ascii="Times New Roman" w:hAnsi="Times New Roman" w:cs="Times New Roman"/>
          <w:sz w:val="24"/>
          <w:szCs w:val="24"/>
        </w:rPr>
        <w:t>the relevant</w:t>
      </w:r>
      <w:r w:rsidRPr="00A14819">
        <w:rPr>
          <w:rFonts w:ascii="Times New Roman" w:hAnsi="Times New Roman" w:cs="Times New Roman"/>
          <w:sz w:val="24"/>
          <w:szCs w:val="24"/>
        </w:rPr>
        <w:t xml:space="preserve"> framework include</w:t>
      </w:r>
      <w:r w:rsidR="00067BB5" w:rsidRPr="00A14819">
        <w:rPr>
          <w:rFonts w:ascii="Times New Roman" w:hAnsi="Times New Roman" w:cs="Times New Roman"/>
          <w:sz w:val="24"/>
          <w:szCs w:val="24"/>
        </w:rPr>
        <w:t xml:space="preserve"> the following:</w:t>
      </w:r>
    </w:p>
    <w:p w14:paraId="7C1780BA" w14:textId="5EA6EE5C" w:rsidR="00203740" w:rsidRPr="00A14819" w:rsidRDefault="00203740"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Conditions precedent to financial close to include any ESG due diligence and assessments carried out prior to financial close, </w:t>
      </w:r>
      <w:r w:rsidR="00677AC0">
        <w:rPr>
          <w:rFonts w:ascii="Times New Roman" w:hAnsi="Times New Roman" w:cs="Times New Roman"/>
          <w:color w:val="000000" w:themeColor="text1"/>
          <w:sz w:val="24"/>
          <w:szCs w:val="24"/>
        </w:rPr>
        <w:t xml:space="preserve">and policies and procedures in place at close which would form part of </w:t>
      </w:r>
      <w:r w:rsidRPr="00A14819">
        <w:rPr>
          <w:rFonts w:ascii="Times New Roman" w:hAnsi="Times New Roman" w:cs="Times New Roman"/>
          <w:color w:val="000000" w:themeColor="text1"/>
          <w:sz w:val="24"/>
          <w:szCs w:val="24"/>
        </w:rPr>
        <w:t>the Environmental and Social Action Plan and the EU Taxonomy Confirmation</w:t>
      </w:r>
      <w:r w:rsidR="00B67019" w:rsidRPr="00A14819">
        <w:rPr>
          <w:rFonts w:ascii="Times New Roman" w:hAnsi="Times New Roman" w:cs="Times New Roman"/>
          <w:color w:val="000000" w:themeColor="text1"/>
          <w:sz w:val="24"/>
          <w:szCs w:val="24"/>
        </w:rPr>
        <w:t xml:space="preserve"> or </w:t>
      </w:r>
      <w:r w:rsidR="00140FD7" w:rsidRPr="00A14819">
        <w:rPr>
          <w:rFonts w:ascii="Times New Roman" w:hAnsi="Times New Roman" w:cs="Times New Roman"/>
          <w:color w:val="000000" w:themeColor="text1"/>
          <w:sz w:val="24"/>
          <w:szCs w:val="24"/>
        </w:rPr>
        <w:t xml:space="preserve">other </w:t>
      </w:r>
      <w:r w:rsidR="00B67019" w:rsidRPr="00A14819">
        <w:rPr>
          <w:rFonts w:ascii="Times New Roman" w:hAnsi="Times New Roman" w:cs="Times New Roman"/>
          <w:color w:val="000000" w:themeColor="text1"/>
          <w:sz w:val="24"/>
          <w:szCs w:val="24"/>
        </w:rPr>
        <w:t>whole lifecycle carbon analysis</w:t>
      </w:r>
      <w:r w:rsidR="00140FD7" w:rsidRPr="00A14819">
        <w:rPr>
          <w:rFonts w:ascii="Times New Roman" w:hAnsi="Times New Roman" w:cs="Times New Roman"/>
          <w:color w:val="000000" w:themeColor="text1"/>
          <w:sz w:val="24"/>
          <w:szCs w:val="24"/>
        </w:rPr>
        <w:t xml:space="preserve"> as required by the </w:t>
      </w:r>
      <w:r w:rsidR="009D0D49" w:rsidRPr="00A14819">
        <w:rPr>
          <w:rFonts w:ascii="Times New Roman" w:hAnsi="Times New Roman" w:cs="Times New Roman"/>
          <w:color w:val="000000" w:themeColor="text1"/>
          <w:sz w:val="24"/>
          <w:szCs w:val="24"/>
        </w:rPr>
        <w:t>[</w:t>
      </w:r>
      <w:r w:rsidR="00140FD7" w:rsidRPr="00A14819">
        <w:rPr>
          <w:rFonts w:ascii="Times New Roman" w:hAnsi="Times New Roman" w:cs="Times New Roman"/>
          <w:color w:val="000000" w:themeColor="text1"/>
          <w:sz w:val="24"/>
          <w:szCs w:val="24"/>
        </w:rPr>
        <w:t>Lenders</w:t>
      </w:r>
      <w:r w:rsidR="009D0D49"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w:t>
      </w:r>
    </w:p>
    <w:p w14:paraId="6B92712F" w14:textId="0EFCA542" w:rsidR="00203740" w:rsidRPr="00A14819" w:rsidRDefault="00203740"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lastRenderedPageBreak/>
        <w:t>The following representations relating to the various ESG issues and concepts and the possibility of expanding existing connected representations in the FA framework to include the same:</w:t>
      </w:r>
    </w:p>
    <w:p w14:paraId="4C59F41D" w14:textId="1847B6A4" w:rsidR="00203740" w:rsidRPr="00A14819" w:rsidRDefault="00203740" w:rsidP="00594574">
      <w:pPr>
        <w:pStyle w:val="ListParagraph"/>
        <w:numPr>
          <w:ilvl w:val="0"/>
          <w:numId w:val="23"/>
        </w:numPr>
        <w:snapToGrid w:val="0"/>
        <w:spacing w:before="120" w:after="120"/>
        <w:ind w:left="2268" w:hanging="85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The accuracy, etc. of ESG due diligence and assessments carried out prior to financial close. Potentially covered by </w:t>
      </w:r>
      <w:r w:rsidR="00E8033E">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No Misleading Information</w:t>
      </w:r>
      <w:r w:rsidR="00E8033E">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 xml:space="preserve">-type representations. </w:t>
      </w:r>
    </w:p>
    <w:p w14:paraId="31F6DFD1" w14:textId="739090A8" w:rsidR="00203740" w:rsidRPr="00A14819" w:rsidRDefault="00203740" w:rsidP="00594574">
      <w:pPr>
        <w:pStyle w:val="ListParagraph"/>
        <w:numPr>
          <w:ilvl w:val="0"/>
          <w:numId w:val="23"/>
        </w:numPr>
        <w:snapToGrid w:val="0"/>
        <w:spacing w:before="120" w:after="120"/>
        <w:ind w:left="2268" w:hanging="85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The </w:t>
      </w:r>
      <w:r w:rsidR="00FC2CF2" w:rsidRPr="00A14819">
        <w:rPr>
          <w:rFonts w:ascii="Times New Roman" w:hAnsi="Times New Roman" w:cs="Times New Roman"/>
          <w:color w:val="000000" w:themeColor="text1"/>
          <w:sz w:val="24"/>
          <w:szCs w:val="24"/>
        </w:rPr>
        <w:t>[Borrower]</w:t>
      </w:r>
      <w:r w:rsidRPr="00A14819">
        <w:rPr>
          <w:rFonts w:ascii="Times New Roman" w:hAnsi="Times New Roman" w:cs="Times New Roman"/>
          <w:color w:val="000000" w:themeColor="text1"/>
          <w:sz w:val="24"/>
          <w:szCs w:val="24"/>
        </w:rPr>
        <w:t>’s compliance with Environmental and Social Standards and the Environmental and Social Action Plan. Potentially covered by no breach of law-type representations.</w:t>
      </w:r>
    </w:p>
    <w:p w14:paraId="66F52240" w14:textId="094DDA4E" w:rsidR="00203740" w:rsidRPr="00A14819" w:rsidRDefault="00203740" w:rsidP="00594574">
      <w:pPr>
        <w:pStyle w:val="ListParagraph"/>
        <w:numPr>
          <w:ilvl w:val="0"/>
          <w:numId w:val="23"/>
        </w:numPr>
        <w:snapToGrid w:val="0"/>
        <w:spacing w:before="120" w:after="120"/>
        <w:ind w:left="2268" w:hanging="85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The </w:t>
      </w:r>
      <w:r w:rsidR="00FC2CF2" w:rsidRPr="00A14819">
        <w:rPr>
          <w:rFonts w:ascii="Times New Roman" w:hAnsi="Times New Roman" w:cs="Times New Roman"/>
          <w:color w:val="000000" w:themeColor="text1"/>
          <w:sz w:val="24"/>
          <w:szCs w:val="24"/>
        </w:rPr>
        <w:t>[Borrower]</w:t>
      </w:r>
      <w:r w:rsidRPr="00A14819">
        <w:rPr>
          <w:rFonts w:ascii="Times New Roman" w:hAnsi="Times New Roman" w:cs="Times New Roman"/>
          <w:color w:val="000000" w:themeColor="text1"/>
          <w:sz w:val="24"/>
          <w:szCs w:val="24"/>
        </w:rPr>
        <w:t>’s business, operations, assets and other facilities are in compliance with Environmental and Social Matters. Potentially covered by no breach of law-type representations.</w:t>
      </w:r>
    </w:p>
    <w:p w14:paraId="652FDC78" w14:textId="77777777" w:rsidR="00203740" w:rsidRPr="00A14819" w:rsidRDefault="00203740" w:rsidP="00594574">
      <w:pPr>
        <w:pStyle w:val="ListParagraph"/>
        <w:numPr>
          <w:ilvl w:val="0"/>
          <w:numId w:val="23"/>
        </w:numPr>
        <w:snapToGrid w:val="0"/>
        <w:spacing w:before="120" w:after="120"/>
        <w:ind w:left="2268" w:hanging="85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All required consents/authorisations relating to ESG have been obtained. Potentially covered by representations relation to obtaining project authorisations.</w:t>
      </w:r>
    </w:p>
    <w:p w14:paraId="7829E505" w14:textId="77777777" w:rsidR="00203740" w:rsidRPr="00A14819" w:rsidRDefault="00203740" w:rsidP="00594574">
      <w:pPr>
        <w:pStyle w:val="ListParagraph"/>
        <w:numPr>
          <w:ilvl w:val="0"/>
          <w:numId w:val="23"/>
        </w:numPr>
        <w:snapToGrid w:val="0"/>
        <w:spacing w:before="120" w:after="120"/>
        <w:ind w:left="2268" w:hanging="850"/>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No Environmental and Social Claim has been commenced or threatened. Potentially covered by no litigation-type representations.</w:t>
      </w:r>
    </w:p>
    <w:p w14:paraId="7A43F390" w14:textId="23EC834C" w:rsidR="00203740" w:rsidRPr="00A14819" w:rsidRDefault="00203740"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An undertaking ensuring that the </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Project</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 xml:space="preserve"> is constructed and operated in accordance with, among other things, Environmental and Social Standards and the Environmental and Social Action Plan. Typical undertakings to providing for the </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Project</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 xml:space="preserve"> to be constructed and operated in accordance with good industry practice, applicable laws, transaction documents, etc. can be expanded to include this.</w:t>
      </w:r>
    </w:p>
    <w:p w14:paraId="25CEAFC4" w14:textId="1DBE67ED" w:rsidR="006E2C43" w:rsidRPr="00A14819" w:rsidRDefault="00203740"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An undertaking providing for the finance parties and </w:t>
      </w:r>
      <w:r w:rsidR="00A6564B">
        <w:rPr>
          <w:rFonts w:ascii="Times New Roman" w:hAnsi="Times New Roman" w:cs="Times New Roman"/>
          <w:color w:val="000000" w:themeColor="text1"/>
          <w:sz w:val="24"/>
          <w:szCs w:val="24"/>
        </w:rPr>
        <w:t>any</w:t>
      </w:r>
      <w:r w:rsidRPr="00A14819">
        <w:rPr>
          <w:rFonts w:ascii="Times New Roman" w:hAnsi="Times New Roman" w:cs="Times New Roman"/>
          <w:color w:val="000000" w:themeColor="text1"/>
          <w:sz w:val="24"/>
          <w:szCs w:val="24"/>
        </w:rPr>
        <w:t xml:space="preserve"> </w:t>
      </w:r>
      <w:r w:rsidR="006043F2" w:rsidRPr="00A14819">
        <w:rPr>
          <w:rFonts w:ascii="Times New Roman" w:hAnsi="Times New Roman" w:cs="Times New Roman"/>
          <w:color w:val="000000" w:themeColor="text1"/>
          <w:sz w:val="24"/>
          <w:szCs w:val="24"/>
        </w:rPr>
        <w:t xml:space="preserve">ESG </w:t>
      </w:r>
      <w:r w:rsidR="00A6564B">
        <w:rPr>
          <w:rFonts w:ascii="Times New Roman" w:hAnsi="Times New Roman" w:cs="Times New Roman"/>
          <w:color w:val="000000" w:themeColor="text1"/>
          <w:sz w:val="24"/>
          <w:szCs w:val="24"/>
        </w:rPr>
        <w:t>a</w:t>
      </w:r>
      <w:r w:rsidR="006043F2" w:rsidRPr="00A14819">
        <w:rPr>
          <w:rFonts w:ascii="Times New Roman" w:hAnsi="Times New Roman" w:cs="Times New Roman"/>
          <w:color w:val="000000" w:themeColor="text1"/>
          <w:sz w:val="24"/>
          <w:szCs w:val="24"/>
        </w:rPr>
        <w:t>dvisor</w:t>
      </w:r>
      <w:r w:rsidR="008501DE">
        <w:rPr>
          <w:rStyle w:val="FootnoteReference"/>
          <w:color w:val="000000" w:themeColor="text1"/>
        </w:rPr>
        <w:footnoteReference w:id="4"/>
      </w:r>
      <w:r w:rsidRPr="00A14819">
        <w:rPr>
          <w:rFonts w:ascii="Times New Roman" w:hAnsi="Times New Roman" w:cs="Times New Roman"/>
          <w:color w:val="000000" w:themeColor="text1"/>
          <w:sz w:val="24"/>
          <w:szCs w:val="24"/>
        </w:rPr>
        <w:t xml:space="preserve"> to attend meetings on the project, raise queries on the same and have access to the [Project] for the purposes of monitoring compliance with Environmental and Social Standards and the Environmental and Social Action Plan, among other things. Typical undertakings providing for access to the </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Project</w:t>
      </w:r>
      <w:r w:rsidR="00784C28" w:rsidRPr="00A14819">
        <w:rPr>
          <w:rFonts w:ascii="Times New Roman" w:hAnsi="Times New Roman" w:cs="Times New Roman"/>
          <w:color w:val="000000" w:themeColor="text1"/>
          <w:sz w:val="24"/>
          <w:szCs w:val="24"/>
        </w:rPr>
        <w:t>]</w:t>
      </w:r>
      <w:r w:rsidRPr="00A14819">
        <w:rPr>
          <w:rFonts w:ascii="Times New Roman" w:hAnsi="Times New Roman" w:cs="Times New Roman"/>
          <w:color w:val="000000" w:themeColor="text1"/>
          <w:sz w:val="24"/>
          <w:szCs w:val="24"/>
        </w:rPr>
        <w:t xml:space="preserve"> can be expanded to include this.</w:t>
      </w:r>
    </w:p>
    <w:p w14:paraId="7FA8971C" w14:textId="44FBAFFE" w:rsidR="006E2C43" w:rsidRPr="00A14819" w:rsidRDefault="006E2C43"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The requirements to disclose information in relation to Regulation (EU) 2020/852 (Taxonomy) on the establishment of a framework to facilitate sustainable investment (EU Taxonomy) </w:t>
      </w:r>
      <w:r w:rsidR="009D6B15" w:rsidRPr="009D6B15">
        <w:rPr>
          <w:rFonts w:ascii="Times New Roman" w:hAnsi="Times New Roman" w:cs="Times New Roman"/>
          <w:color w:val="000000" w:themeColor="text1"/>
          <w:sz w:val="24"/>
          <w:szCs w:val="24"/>
        </w:rPr>
        <w:t xml:space="preserve">is included in the Environmental and Social Report in brief form only.  </w:t>
      </w:r>
    </w:p>
    <w:p w14:paraId="685A103D" w14:textId="45131FEE" w:rsidR="006E2C43" w:rsidRPr="00A14819" w:rsidRDefault="00593945"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The lenders’</w:t>
      </w:r>
      <w:r w:rsidR="006E2C43" w:rsidRPr="00A14819">
        <w:rPr>
          <w:rFonts w:ascii="Times New Roman" w:hAnsi="Times New Roman" w:cs="Times New Roman"/>
          <w:color w:val="000000" w:themeColor="text1"/>
          <w:sz w:val="24"/>
          <w:szCs w:val="24"/>
        </w:rPr>
        <w:t xml:space="preserve"> technical advisor</w:t>
      </w:r>
      <w:r w:rsidR="00677AC0">
        <w:rPr>
          <w:rStyle w:val="FootnoteReference"/>
          <w:color w:val="000000" w:themeColor="text1"/>
        </w:rPr>
        <w:footnoteReference w:id="5"/>
      </w:r>
      <w:r w:rsidR="006E2C43" w:rsidRPr="00A14819">
        <w:rPr>
          <w:rFonts w:ascii="Times New Roman" w:hAnsi="Times New Roman" w:cs="Times New Roman"/>
          <w:color w:val="000000" w:themeColor="text1"/>
          <w:sz w:val="24"/>
          <w:szCs w:val="24"/>
        </w:rPr>
        <w:t xml:space="preserve"> will also perform any ESG advisory function on behalf of the lenders. Should the ESG advisory function be performed by a separate entity from the lenders’ technical advisor, lenders should consider including obligations on the Borrower to procure periodic reporting by such separate entity.</w:t>
      </w:r>
    </w:p>
    <w:p w14:paraId="68D9A362" w14:textId="4CE79E93" w:rsidR="00067BB5" w:rsidRPr="00A14819" w:rsidRDefault="00067BB5" w:rsidP="00067BB5">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lastRenderedPageBreak/>
        <w:t xml:space="preserve">Treatment of any failure to comply with the ESG reporting obligations in the ESG Covenant Package is </w:t>
      </w:r>
      <w:r w:rsidR="00186E97" w:rsidRPr="00186E97">
        <w:rPr>
          <w:rFonts w:ascii="Times New Roman" w:hAnsi="Times New Roman" w:cs="Times New Roman"/>
          <w:color w:val="000000" w:themeColor="text1"/>
          <w:sz w:val="24"/>
          <w:szCs w:val="24"/>
        </w:rPr>
        <w:t>not intended (on its own) to be a specific event of default but to be treated the same as any other reporting requirement such as Financial Statements.</w:t>
      </w:r>
    </w:p>
    <w:p w14:paraId="6405B388" w14:textId="43E8D680" w:rsidR="00593945" w:rsidRPr="00A14819" w:rsidRDefault="00593945" w:rsidP="00594574">
      <w:pPr>
        <w:pStyle w:val="ListParagraph"/>
        <w:numPr>
          <w:ilvl w:val="0"/>
          <w:numId w:val="22"/>
        </w:numPr>
        <w:snapToGrid w:val="0"/>
        <w:spacing w:before="120" w:after="120"/>
        <w:ind w:left="1418" w:hanging="698"/>
        <w:contextualSpacing w:val="0"/>
        <w:jc w:val="both"/>
        <w:rPr>
          <w:rFonts w:ascii="Times New Roman" w:hAnsi="Times New Roman" w:cs="Times New Roman"/>
          <w:color w:val="000000" w:themeColor="text1"/>
          <w:sz w:val="24"/>
          <w:szCs w:val="24"/>
        </w:rPr>
      </w:pPr>
      <w:r w:rsidRPr="00A14819">
        <w:rPr>
          <w:rFonts w:ascii="Times New Roman" w:hAnsi="Times New Roman" w:cs="Times New Roman"/>
          <w:color w:val="000000" w:themeColor="text1"/>
          <w:sz w:val="24"/>
          <w:szCs w:val="24"/>
        </w:rPr>
        <w:t xml:space="preserve">Any disputes in relation to ESG will be resolved using the existing dispute resolution procedures in </w:t>
      </w:r>
      <w:r w:rsidR="0048415E" w:rsidRPr="00A14819">
        <w:rPr>
          <w:rFonts w:ascii="Times New Roman" w:hAnsi="Times New Roman" w:cs="Times New Roman"/>
          <w:color w:val="000000" w:themeColor="text1"/>
          <w:sz w:val="24"/>
          <w:szCs w:val="24"/>
        </w:rPr>
        <w:t>the relevant</w:t>
      </w:r>
      <w:r w:rsidRPr="00A14819">
        <w:rPr>
          <w:rFonts w:ascii="Times New Roman" w:hAnsi="Times New Roman" w:cs="Times New Roman"/>
          <w:color w:val="000000" w:themeColor="text1"/>
          <w:sz w:val="24"/>
          <w:szCs w:val="24"/>
        </w:rPr>
        <w:t xml:space="preserve"> framework.</w:t>
      </w:r>
    </w:p>
    <w:p w14:paraId="4CC42524" w14:textId="49736C0F" w:rsidR="008A0A8A" w:rsidRPr="00A14819" w:rsidRDefault="00557470" w:rsidP="00F151DB">
      <w:pPr>
        <w:pStyle w:val="ListParagraph"/>
        <w:numPr>
          <w:ilvl w:val="0"/>
          <w:numId w:val="21"/>
        </w:numPr>
        <w:snapToGrid w:val="0"/>
        <w:spacing w:before="120" w:after="120"/>
        <w:contextualSpacing w:val="0"/>
        <w:jc w:val="both"/>
        <w:rPr>
          <w:rFonts w:ascii="Times New Roman" w:hAnsi="Times New Roman" w:cs="Times New Roman"/>
          <w:sz w:val="24"/>
          <w:szCs w:val="24"/>
        </w:rPr>
      </w:pPr>
      <w:r w:rsidRPr="00A14819">
        <w:rPr>
          <w:rFonts w:ascii="Times New Roman" w:hAnsi="Times New Roman" w:cs="Times New Roman"/>
          <w:sz w:val="24"/>
          <w:szCs w:val="24"/>
        </w:rPr>
        <w:t>Qualifying</w:t>
      </w:r>
      <w:r w:rsidR="008A0A8A" w:rsidRPr="00A14819">
        <w:rPr>
          <w:rFonts w:ascii="Times New Roman" w:hAnsi="Times New Roman" w:cs="Times New Roman"/>
          <w:sz w:val="24"/>
          <w:szCs w:val="24"/>
        </w:rPr>
        <w:t xml:space="preserve"> ESG-related </w:t>
      </w:r>
      <w:r w:rsidR="00067BB5" w:rsidRPr="00A14819">
        <w:rPr>
          <w:rFonts w:ascii="Times New Roman" w:hAnsi="Times New Roman" w:cs="Times New Roman"/>
          <w:sz w:val="24"/>
          <w:szCs w:val="24"/>
        </w:rPr>
        <w:t>obligations and controls</w:t>
      </w:r>
      <w:r w:rsidRPr="00A14819">
        <w:rPr>
          <w:rFonts w:ascii="Times New Roman" w:hAnsi="Times New Roman" w:cs="Times New Roman"/>
          <w:sz w:val="24"/>
          <w:szCs w:val="24"/>
        </w:rPr>
        <w:t xml:space="preserve"> (e.g. with materiality, reasonableness, thresholds, etc.)</w:t>
      </w:r>
      <w:r w:rsidR="008A0A8A" w:rsidRPr="00A14819">
        <w:rPr>
          <w:rFonts w:ascii="Times New Roman" w:hAnsi="Times New Roman" w:cs="Times New Roman"/>
          <w:sz w:val="24"/>
          <w:szCs w:val="24"/>
        </w:rPr>
        <w:t xml:space="preserve"> </w:t>
      </w:r>
      <w:r w:rsidR="002376C6" w:rsidRPr="00A14819">
        <w:rPr>
          <w:rFonts w:ascii="Times New Roman" w:hAnsi="Times New Roman" w:cs="Times New Roman"/>
          <w:sz w:val="24"/>
          <w:szCs w:val="24"/>
        </w:rPr>
        <w:t>is customarily</w:t>
      </w:r>
      <w:r w:rsidR="008A0A8A" w:rsidRPr="00A14819">
        <w:rPr>
          <w:rFonts w:ascii="Times New Roman" w:hAnsi="Times New Roman" w:cs="Times New Roman"/>
          <w:sz w:val="24"/>
          <w:szCs w:val="24"/>
        </w:rPr>
        <w:t xml:space="preserve"> a </w:t>
      </w:r>
      <w:r w:rsidR="003C435D">
        <w:rPr>
          <w:rFonts w:ascii="Times New Roman" w:hAnsi="Times New Roman" w:cs="Times New Roman"/>
          <w:sz w:val="24"/>
          <w:szCs w:val="24"/>
        </w:rPr>
        <w:t>commercial</w:t>
      </w:r>
      <w:r w:rsidR="008A0A8A" w:rsidRPr="00A14819">
        <w:rPr>
          <w:rFonts w:ascii="Times New Roman" w:hAnsi="Times New Roman" w:cs="Times New Roman"/>
          <w:sz w:val="24"/>
          <w:szCs w:val="24"/>
        </w:rPr>
        <w:t xml:space="preserve"> discussion, </w:t>
      </w:r>
      <w:r w:rsidR="003C435D">
        <w:rPr>
          <w:rFonts w:ascii="Times New Roman" w:hAnsi="Times New Roman" w:cs="Times New Roman"/>
          <w:sz w:val="24"/>
          <w:szCs w:val="24"/>
        </w:rPr>
        <w:t xml:space="preserve">with parties </w:t>
      </w:r>
      <w:r w:rsidR="008A0A8A" w:rsidRPr="00A14819">
        <w:rPr>
          <w:rFonts w:ascii="Times New Roman" w:hAnsi="Times New Roman" w:cs="Times New Roman"/>
          <w:sz w:val="24"/>
          <w:szCs w:val="24"/>
        </w:rPr>
        <w:t xml:space="preserve">taking into account the specific requirements of the [Project] and applicable law and regulation.  </w:t>
      </w:r>
    </w:p>
    <w:p w14:paraId="25F2732B" w14:textId="77777777" w:rsidR="004B710A" w:rsidRPr="00A14819" w:rsidRDefault="004B710A" w:rsidP="006965AE">
      <w:pPr>
        <w:snapToGrid w:val="0"/>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br w:type="page"/>
      </w:r>
    </w:p>
    <w:p w14:paraId="7660EABB" w14:textId="5D961C96" w:rsidR="004B710A" w:rsidRPr="000778E2" w:rsidRDefault="00203740" w:rsidP="000778E2">
      <w:pPr>
        <w:pStyle w:val="General2L1"/>
        <w:numPr>
          <w:ilvl w:val="0"/>
          <w:numId w:val="46"/>
        </w:numPr>
        <w:rPr>
          <w:szCs w:val="24"/>
        </w:rPr>
      </w:pPr>
      <w:r w:rsidRPr="000778E2">
        <w:rPr>
          <w:szCs w:val="24"/>
        </w:rPr>
        <w:lastRenderedPageBreak/>
        <w:t xml:space="preserve">ESG COVENANT </w:t>
      </w:r>
      <w:r w:rsidR="000E6EC9" w:rsidRPr="000778E2">
        <w:rPr>
          <w:szCs w:val="24"/>
        </w:rPr>
        <w:t>PACKAGE</w:t>
      </w:r>
    </w:p>
    <w:p w14:paraId="1DE54F79" w14:textId="77777777" w:rsidR="007220E1" w:rsidRPr="00A14819" w:rsidRDefault="007220E1" w:rsidP="007220E1">
      <w:pPr>
        <w:snapToGrid w:val="0"/>
        <w:spacing w:before="120" w:after="120" w:line="240" w:lineRule="auto"/>
        <w:jc w:val="both"/>
        <w:rPr>
          <w:rFonts w:ascii="Times New Roman" w:hAnsi="Times New Roman" w:cs="Times New Roman"/>
          <w:b/>
          <w:bCs/>
          <w:i/>
          <w:iCs/>
          <w:color w:val="FF0000"/>
          <w:sz w:val="24"/>
          <w:szCs w:val="24"/>
        </w:rPr>
      </w:pPr>
      <w:r w:rsidRPr="00A14819">
        <w:rPr>
          <w:rFonts w:ascii="Times New Roman" w:hAnsi="Times New Roman" w:cs="Times New Roman"/>
          <w:b/>
          <w:bCs/>
          <w:i/>
          <w:iCs/>
          <w:color w:val="FF0000"/>
          <w:sz w:val="24"/>
          <w:szCs w:val="24"/>
          <w:u w:val="single"/>
        </w:rPr>
        <w:t>IMPORTANT NOTICE:</w:t>
      </w:r>
      <w:r w:rsidRPr="00A14819">
        <w:rPr>
          <w:rFonts w:ascii="Times New Roman" w:hAnsi="Times New Roman" w:cs="Times New Roman"/>
          <w:b/>
          <w:bCs/>
          <w:i/>
          <w:iCs/>
          <w:color w:val="FF0000"/>
          <w:sz w:val="24"/>
          <w:szCs w:val="24"/>
        </w:rPr>
        <w:t xml:space="preserve"> </w:t>
      </w:r>
    </w:p>
    <w:p w14:paraId="6195342D" w14:textId="0B92E845" w:rsidR="00AF0934" w:rsidRPr="00A14819" w:rsidRDefault="007220E1" w:rsidP="007C4812">
      <w:pPr>
        <w:snapToGrid w:val="0"/>
        <w:spacing w:before="120" w:after="120" w:line="240" w:lineRule="auto"/>
        <w:jc w:val="both"/>
        <w:rPr>
          <w:rFonts w:ascii="Times New Roman" w:hAnsi="Times New Roman" w:cs="Times New Roman"/>
          <w:i/>
          <w:iCs/>
          <w:color w:val="FF0000"/>
          <w:sz w:val="24"/>
          <w:szCs w:val="24"/>
        </w:rPr>
      </w:pPr>
      <w:r w:rsidRPr="00A14819">
        <w:rPr>
          <w:rFonts w:ascii="Times New Roman" w:hAnsi="Times New Roman" w:cs="Times New Roman"/>
          <w:i/>
          <w:iCs/>
          <w:color w:val="FF0000"/>
          <w:sz w:val="24"/>
          <w:szCs w:val="24"/>
        </w:rPr>
        <w:t>For the avoidance of doubt, this document is in a non-binding, recommended form.  Its intention is to be used as a starting point for negotiation only.  Individual parties are free to depart from its terms and should always satisfy themselves of the regulatory implications of its use.</w:t>
      </w:r>
    </w:p>
    <w:p w14:paraId="74E5FFA4" w14:textId="5D338034" w:rsidR="00BE285E" w:rsidRPr="00A14819" w:rsidRDefault="0048415E" w:rsidP="006965AE">
      <w:pPr>
        <w:snapToGrid w:val="0"/>
        <w:spacing w:before="120" w:after="120" w:line="240" w:lineRule="auto"/>
        <w:jc w:val="both"/>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t xml:space="preserve">1. </w:t>
      </w:r>
      <w:r w:rsidR="00BE285E" w:rsidRPr="00A14819">
        <w:rPr>
          <w:rFonts w:ascii="Times New Roman" w:hAnsi="Times New Roman" w:cs="Times New Roman"/>
          <w:b/>
          <w:bCs/>
          <w:color w:val="0070C0"/>
          <w:sz w:val="24"/>
          <w:szCs w:val="24"/>
        </w:rPr>
        <w:t>[</w:t>
      </w:r>
      <w:r w:rsidR="00FC2CF2" w:rsidRPr="00A14819">
        <w:rPr>
          <w:rFonts w:ascii="Times New Roman" w:hAnsi="Times New Roman" w:cs="Times New Roman"/>
          <w:b/>
          <w:bCs/>
          <w:color w:val="0070C0"/>
          <w:sz w:val="24"/>
          <w:szCs w:val="24"/>
        </w:rPr>
        <w:t>[Borrower]</w:t>
      </w:r>
      <w:r w:rsidR="00BE285E" w:rsidRPr="00A14819">
        <w:rPr>
          <w:rFonts w:ascii="Times New Roman" w:hAnsi="Times New Roman" w:cs="Times New Roman"/>
          <w:b/>
          <w:bCs/>
          <w:color w:val="0070C0"/>
          <w:sz w:val="24"/>
          <w:szCs w:val="24"/>
        </w:rPr>
        <w:t>’s reporting]</w:t>
      </w:r>
    </w:p>
    <w:p w14:paraId="0DC4B7BB" w14:textId="56086446" w:rsidR="00962A19" w:rsidRDefault="00962A19" w:rsidP="0048415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bookmarkStart w:id="6" w:name="_Ref83976999"/>
      <w:bookmarkStart w:id="7" w:name="_Ref74680295"/>
      <w:r w:rsidRPr="00A14819">
        <w:rPr>
          <w:rFonts w:ascii="Times New Roman" w:hAnsi="Times New Roman" w:cs="Times New Roman"/>
          <w:sz w:val="24"/>
          <w:szCs w:val="24"/>
        </w:rPr>
        <w:t xml:space="preserve">As soon as available but, in any event, within [60] days after the end of each of its financial years,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must </w:t>
      </w:r>
      <w:r w:rsidR="0048415E" w:rsidRPr="00A14819">
        <w:rPr>
          <w:rFonts w:ascii="Times New Roman" w:hAnsi="Times New Roman" w:cs="Times New Roman"/>
          <w:sz w:val="24"/>
          <w:szCs w:val="24"/>
        </w:rPr>
        <w:t>deliver</w:t>
      </w:r>
      <w:r w:rsidRPr="00A14819">
        <w:rPr>
          <w:rFonts w:ascii="Times New Roman" w:hAnsi="Times New Roman" w:cs="Times New Roman"/>
          <w:sz w:val="24"/>
          <w:szCs w:val="24"/>
        </w:rPr>
        <w:t xml:space="preserve"> to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Agent</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a</w:t>
      </w:r>
      <w:r w:rsidR="00305713" w:rsidRPr="00A14819">
        <w:rPr>
          <w:rFonts w:ascii="Times New Roman" w:hAnsi="Times New Roman" w:cs="Times New Roman"/>
          <w:sz w:val="24"/>
          <w:szCs w:val="24"/>
        </w:rPr>
        <w:t>n Environmental and Social Monitoring Report for such financial year</w:t>
      </w:r>
      <w:r w:rsidR="0048415E" w:rsidRPr="00A14819">
        <w:rPr>
          <w:rFonts w:ascii="Times New Roman" w:hAnsi="Times New Roman" w:cs="Times New Roman"/>
          <w:sz w:val="24"/>
          <w:szCs w:val="24"/>
        </w:rPr>
        <w:t>, together with all supporting documentation referred to in such Environmental and Social Monitoring Report</w:t>
      </w:r>
      <w:r w:rsidR="00677AC0">
        <w:rPr>
          <w:rStyle w:val="FootnoteReference"/>
        </w:rPr>
        <w:footnoteReference w:id="6"/>
      </w:r>
      <w:r w:rsidR="00305713" w:rsidRPr="00A14819">
        <w:rPr>
          <w:rFonts w:ascii="Times New Roman" w:hAnsi="Times New Roman" w:cs="Times New Roman"/>
          <w:sz w:val="24"/>
          <w:szCs w:val="24"/>
        </w:rPr>
        <w:t>.</w:t>
      </w:r>
      <w:bookmarkEnd w:id="6"/>
      <w:r w:rsidR="00305713" w:rsidRPr="00A14819">
        <w:rPr>
          <w:rFonts w:ascii="Times New Roman" w:hAnsi="Times New Roman" w:cs="Times New Roman"/>
          <w:sz w:val="24"/>
          <w:szCs w:val="24"/>
        </w:rPr>
        <w:t xml:space="preserve"> </w:t>
      </w:r>
      <w:bookmarkEnd w:id="7"/>
    </w:p>
    <w:p w14:paraId="4EAD9178" w14:textId="67E7CFB6" w:rsidR="008F4238" w:rsidRPr="00D23414" w:rsidRDefault="008F4238" w:rsidP="00D23414">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r w:rsidRPr="00D23414">
        <w:rPr>
          <w:rFonts w:ascii="Times New Roman" w:hAnsi="Times New Roman" w:cs="Times New Roman"/>
          <w:sz w:val="24"/>
          <w:szCs w:val="24"/>
        </w:rPr>
        <w:t xml:space="preserve">The first year the </w:t>
      </w:r>
      <w:r w:rsidR="00887EA7">
        <w:rPr>
          <w:rFonts w:ascii="Times New Roman" w:hAnsi="Times New Roman" w:cs="Times New Roman"/>
          <w:sz w:val="24"/>
          <w:szCs w:val="24"/>
        </w:rPr>
        <w:t>[</w:t>
      </w:r>
      <w:r w:rsidRPr="00D23414">
        <w:rPr>
          <w:rFonts w:ascii="Times New Roman" w:hAnsi="Times New Roman" w:cs="Times New Roman"/>
          <w:sz w:val="24"/>
          <w:szCs w:val="24"/>
        </w:rPr>
        <w:t>Borrower</w:t>
      </w:r>
      <w:r w:rsidR="00887EA7">
        <w:rPr>
          <w:rFonts w:ascii="Times New Roman" w:hAnsi="Times New Roman" w:cs="Times New Roman"/>
          <w:sz w:val="24"/>
          <w:szCs w:val="24"/>
        </w:rPr>
        <w:t>]</w:t>
      </w:r>
      <w:r w:rsidRPr="00D23414">
        <w:rPr>
          <w:rFonts w:ascii="Times New Roman" w:hAnsi="Times New Roman" w:cs="Times New Roman"/>
          <w:sz w:val="24"/>
          <w:szCs w:val="24"/>
        </w:rPr>
        <w:t xml:space="preserve"> is required to deliver the Environmental and Social Monitoring Report is the financial year ending [March 2023], for all data except Scope 3 Carbon Emissions, with Scope 3 Carbon Emissions data to be included from [March 2025].</w:t>
      </w:r>
    </w:p>
    <w:tbl>
      <w:tblPr>
        <w:tblStyle w:val="TableGrid"/>
        <w:tblW w:w="0" w:type="auto"/>
        <w:shd w:val="clear" w:color="auto" w:fill="92D050"/>
        <w:tblLook w:val="04A0" w:firstRow="1" w:lastRow="0" w:firstColumn="1" w:lastColumn="0" w:noHBand="0" w:noVBand="1"/>
      </w:tblPr>
      <w:tblGrid>
        <w:gridCol w:w="9016"/>
      </w:tblGrid>
      <w:tr w:rsidR="008F4238" w14:paraId="222BAF08" w14:textId="77777777" w:rsidTr="008F4238">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73B281D5" w14:textId="77777777" w:rsidR="008F4238" w:rsidRDefault="008F4238">
            <w:pPr>
              <w:snapToGrid w:val="0"/>
              <w:spacing w:before="120" w:after="120"/>
              <w:rPr>
                <w:rFonts w:ascii="Calibri" w:hAnsi="Calibri" w:cs="Calibri"/>
              </w:rPr>
            </w:pPr>
            <w:r w:rsidRPr="005D21BE">
              <w:rPr>
                <w:rFonts w:cs="Times New Roman"/>
                <w:sz w:val="24"/>
                <w:szCs w:val="24"/>
              </w:rPr>
              <w:t>Note that [60] days is in square brackets and longer time periods may be agreed between the Borrower and the lender / lender group.  Given it is likely that data collection will become more efficient over time, there could be acknowledgement that the Borrower and Agent may later agree shorter time periods for certain data (e.g. monthly collection of carbon emissions data) enabling lenders to report accurately in the correct period under their own disclosure regulations.</w:t>
            </w:r>
          </w:p>
        </w:tc>
      </w:tr>
    </w:tbl>
    <w:p w14:paraId="1908DDFE" w14:textId="77777777" w:rsidR="008F4238" w:rsidRPr="00A14819" w:rsidRDefault="008F4238" w:rsidP="008F4238">
      <w:pPr>
        <w:pStyle w:val="ListParagraph"/>
        <w:snapToGrid w:val="0"/>
        <w:spacing w:before="120" w:after="120" w:line="240" w:lineRule="auto"/>
        <w:ind w:left="567"/>
        <w:contextualSpacing w:val="0"/>
        <w:jc w:val="both"/>
        <w:rPr>
          <w:rFonts w:ascii="Times New Roman" w:hAnsi="Times New Roman" w:cs="Times New Roman"/>
          <w:sz w:val="24"/>
          <w:szCs w:val="24"/>
        </w:rPr>
      </w:pPr>
    </w:p>
    <w:p w14:paraId="617EF474" w14:textId="4C01B768" w:rsidR="00BE285E" w:rsidRPr="00A14819" w:rsidRDefault="00BE285E" w:rsidP="006965AE">
      <w:pPr>
        <w:snapToGrid w:val="0"/>
        <w:spacing w:before="120" w:after="120" w:line="240" w:lineRule="auto"/>
        <w:jc w:val="both"/>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t>[Periodical audit right]</w:t>
      </w:r>
    </w:p>
    <w:p w14:paraId="3092C56E" w14:textId="7A1A8162" w:rsidR="00962A19" w:rsidRPr="00A14819" w:rsidRDefault="00962A19" w:rsidP="006965A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bookmarkStart w:id="8" w:name="_Ref63078560"/>
      <w:r w:rsidRPr="00A14819">
        <w:rPr>
          <w:rFonts w:ascii="Times New Roman" w:hAnsi="Times New Roman" w:cs="Times New Roman"/>
          <w:sz w:val="24"/>
          <w:szCs w:val="24"/>
        </w:rPr>
        <w:t xml:space="preserve">Every </w:t>
      </w:r>
      <w:r w:rsidR="003C1BE2" w:rsidRPr="00A14819">
        <w:rPr>
          <w:rFonts w:ascii="Times New Roman" w:hAnsi="Times New Roman" w:cs="Times New Roman"/>
          <w:sz w:val="24"/>
          <w:szCs w:val="24"/>
        </w:rPr>
        <w:t>[</w:t>
      </w:r>
      <w:r w:rsidRPr="00A14819">
        <w:rPr>
          <w:rFonts w:ascii="Times New Roman" w:hAnsi="Times New Roman" w:cs="Times New Roman"/>
          <w:sz w:val="24"/>
          <w:szCs w:val="24"/>
        </w:rPr>
        <w:t>three</w:t>
      </w:r>
      <w:r w:rsidR="003C1BE2" w:rsidRPr="00A14819">
        <w:rPr>
          <w:rFonts w:ascii="Times New Roman" w:hAnsi="Times New Roman" w:cs="Times New Roman"/>
          <w:sz w:val="24"/>
          <w:szCs w:val="24"/>
        </w:rPr>
        <w:t>]</w:t>
      </w:r>
      <w:r w:rsidRPr="00A14819">
        <w:rPr>
          <w:rFonts w:ascii="Times New Roman" w:hAnsi="Times New Roman" w:cs="Times New Roman"/>
          <w:sz w:val="24"/>
          <w:szCs w:val="24"/>
        </w:rPr>
        <w:t xml:space="preserve"> years from the </w:t>
      </w:r>
      <w:r w:rsidR="00127B1F" w:rsidRPr="00A14819">
        <w:rPr>
          <w:rFonts w:ascii="Times New Roman" w:hAnsi="Times New Roman" w:cs="Times New Roman"/>
          <w:sz w:val="24"/>
          <w:szCs w:val="24"/>
        </w:rPr>
        <w:t>[</w:t>
      </w:r>
      <w:r w:rsidR="00363F81">
        <w:rPr>
          <w:rFonts w:ascii="Times New Roman" w:hAnsi="Times New Roman" w:cs="Times New Roman"/>
          <w:sz w:val="24"/>
          <w:szCs w:val="24"/>
        </w:rPr>
        <w:t xml:space="preserve">Practical </w:t>
      </w:r>
      <w:r w:rsidRPr="00A14819">
        <w:rPr>
          <w:rFonts w:ascii="Times New Roman" w:hAnsi="Times New Roman" w:cs="Times New Roman"/>
          <w:sz w:val="24"/>
          <w:szCs w:val="24"/>
        </w:rPr>
        <w:t>Completion</w:t>
      </w:r>
      <w:r w:rsidR="00127B1F" w:rsidRPr="00A14819">
        <w:rPr>
          <w:rFonts w:ascii="Times New Roman" w:hAnsi="Times New Roman" w:cs="Times New Roman"/>
          <w:sz w:val="24"/>
          <w:szCs w:val="24"/>
        </w:rPr>
        <w:t>]</w:t>
      </w:r>
      <w:r w:rsidRPr="00A14819">
        <w:rPr>
          <w:rFonts w:ascii="Times New Roman" w:hAnsi="Times New Roman" w:cs="Times New Roman"/>
          <w:sz w:val="24"/>
          <w:szCs w:val="24"/>
        </w:rPr>
        <w:t xml:space="preserve">,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Agent</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shall have the right (if so instructed by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Majority Lenders</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to require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to, at its own expense, procure that:</w:t>
      </w:r>
      <w:bookmarkEnd w:id="8"/>
    </w:p>
    <w:p w14:paraId="09ACDFC3" w14:textId="05672B60" w:rsidR="00962A19" w:rsidRPr="00A14819" w:rsidRDefault="00962A19" w:rsidP="006965AE">
      <w:pPr>
        <w:pStyle w:val="ListParagraph"/>
        <w:numPr>
          <w:ilvl w:val="0"/>
          <w:numId w:val="6"/>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an environmental and social audit of the </w:t>
      </w:r>
      <w:r w:rsidR="009564FE" w:rsidRPr="009564FE">
        <w:rPr>
          <w:rFonts w:ascii="Times New Roman" w:hAnsi="Times New Roman" w:cs="Times New Roman"/>
          <w:sz w:val="24"/>
          <w:szCs w:val="24"/>
        </w:rPr>
        <w:t xml:space="preserve">data provided in the Environmental and Social Report(s) (excluding Scope 3 Carbon Emissions data) and the associated Environmental and Social Action Plan(s) for the </w:t>
      </w:r>
      <w:r w:rsidR="00E54D46" w:rsidRPr="00A14819">
        <w:rPr>
          <w:rFonts w:ascii="Times New Roman" w:hAnsi="Times New Roman" w:cs="Times New Roman"/>
          <w:sz w:val="24"/>
          <w:szCs w:val="24"/>
        </w:rPr>
        <w:t>[Project]</w:t>
      </w:r>
      <w:r w:rsidRPr="00A14819">
        <w:rPr>
          <w:rFonts w:ascii="Times New Roman" w:hAnsi="Times New Roman" w:cs="Times New Roman"/>
          <w:sz w:val="24"/>
          <w:szCs w:val="24"/>
        </w:rPr>
        <w:t xml:space="preserve"> be carried out by the </w:t>
      </w:r>
      <w:r w:rsidR="00593945" w:rsidRPr="00A14819">
        <w:rPr>
          <w:rFonts w:ascii="Times New Roman" w:hAnsi="Times New Roman" w:cs="Times New Roman"/>
          <w:sz w:val="24"/>
          <w:szCs w:val="24"/>
        </w:rPr>
        <w:t>[Lenders’ Technical Advisor]</w:t>
      </w:r>
      <w:r w:rsidRPr="00A14819">
        <w:rPr>
          <w:rFonts w:ascii="Times New Roman" w:hAnsi="Times New Roman" w:cs="Times New Roman"/>
          <w:sz w:val="24"/>
          <w:szCs w:val="24"/>
        </w:rPr>
        <w:t>; and</w:t>
      </w:r>
    </w:p>
    <w:p w14:paraId="4810E44D" w14:textId="4B47D3CF" w:rsidR="00962A19" w:rsidRPr="00A14819" w:rsidRDefault="00962A19" w:rsidP="006965AE">
      <w:pPr>
        <w:pStyle w:val="ListParagraph"/>
        <w:numPr>
          <w:ilvl w:val="0"/>
          <w:numId w:val="6"/>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the results of such audit be submitted to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Agent</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w:t>
      </w:r>
    </w:p>
    <w:tbl>
      <w:tblPr>
        <w:tblStyle w:val="TableGrid"/>
        <w:tblW w:w="0" w:type="auto"/>
        <w:shd w:val="clear" w:color="auto" w:fill="92D050"/>
        <w:tblLook w:val="04A0" w:firstRow="1" w:lastRow="0" w:firstColumn="1" w:lastColumn="0" w:noHBand="0" w:noVBand="1"/>
      </w:tblPr>
      <w:tblGrid>
        <w:gridCol w:w="9016"/>
      </w:tblGrid>
      <w:tr w:rsidR="00680B40" w:rsidRPr="00A14819" w14:paraId="4429315E" w14:textId="77777777" w:rsidTr="00CF53FD">
        <w:tc>
          <w:tcPr>
            <w:tcW w:w="9016" w:type="dxa"/>
            <w:shd w:val="clear" w:color="auto" w:fill="92D050"/>
          </w:tcPr>
          <w:p w14:paraId="7A60C04A" w14:textId="77777777" w:rsidR="00746DE2" w:rsidRPr="00746DE2" w:rsidRDefault="00746DE2" w:rsidP="00746DE2">
            <w:pPr>
              <w:snapToGrid w:val="0"/>
              <w:spacing w:before="120" w:after="120"/>
              <w:rPr>
                <w:rFonts w:cs="Times New Roman"/>
                <w:sz w:val="24"/>
                <w:szCs w:val="24"/>
              </w:rPr>
            </w:pPr>
            <w:r w:rsidRPr="00746DE2">
              <w:rPr>
                <w:rFonts w:cs="Times New Roman"/>
                <w:sz w:val="24"/>
                <w:szCs w:val="24"/>
              </w:rPr>
              <w:t>The above clause to be used where there is no external verification of data provided by the Borrower, by way of audit by accounting firms, lender’s technical advisor or a second party opinion provider.</w:t>
            </w:r>
          </w:p>
          <w:p w14:paraId="7DFF3F38" w14:textId="1CD90862" w:rsidR="00680B40" w:rsidRPr="00A14819" w:rsidRDefault="006C485F" w:rsidP="006965AE">
            <w:pPr>
              <w:snapToGrid w:val="0"/>
              <w:spacing w:before="120" w:after="120"/>
              <w:rPr>
                <w:rFonts w:cs="Times New Roman"/>
                <w:sz w:val="24"/>
                <w:szCs w:val="24"/>
              </w:rPr>
            </w:pPr>
            <w:r w:rsidRPr="00A14819">
              <w:rPr>
                <w:rFonts w:cs="Times New Roman"/>
                <w:sz w:val="24"/>
                <w:szCs w:val="24"/>
              </w:rPr>
              <w:t xml:space="preserve">TBD if there should be an obligation following an audit </w:t>
            </w:r>
            <w:r w:rsidR="003F2622" w:rsidRPr="00A14819">
              <w:rPr>
                <w:rFonts w:cs="Times New Roman"/>
                <w:sz w:val="24"/>
                <w:szCs w:val="24"/>
              </w:rPr>
              <w:t>to</w:t>
            </w:r>
            <w:r w:rsidRPr="00A14819">
              <w:rPr>
                <w:rFonts w:cs="Times New Roman"/>
                <w:sz w:val="24"/>
                <w:szCs w:val="24"/>
              </w:rPr>
              <w:t xml:space="preserve"> amen</w:t>
            </w:r>
            <w:r w:rsidR="003F2622" w:rsidRPr="00A14819">
              <w:rPr>
                <w:rFonts w:cs="Times New Roman"/>
                <w:sz w:val="24"/>
                <w:szCs w:val="24"/>
              </w:rPr>
              <w:t>d</w:t>
            </w:r>
            <w:r w:rsidRPr="00A14819">
              <w:rPr>
                <w:rFonts w:cs="Times New Roman"/>
                <w:sz w:val="24"/>
                <w:szCs w:val="24"/>
              </w:rPr>
              <w:t xml:space="preserve"> the </w:t>
            </w:r>
            <w:r w:rsidR="0048415E" w:rsidRPr="00A14819">
              <w:rPr>
                <w:rFonts w:cs="Times New Roman"/>
                <w:sz w:val="24"/>
                <w:szCs w:val="24"/>
              </w:rPr>
              <w:t>Environmental and Social Monitoring Report</w:t>
            </w:r>
            <w:r w:rsidR="003F2622" w:rsidRPr="00A14819">
              <w:rPr>
                <w:rFonts w:cs="Times New Roman"/>
                <w:sz w:val="24"/>
                <w:szCs w:val="24"/>
              </w:rPr>
              <w:t xml:space="preserve"> as necessary</w:t>
            </w:r>
            <w:r w:rsidRPr="00A14819">
              <w:rPr>
                <w:rFonts w:cs="Times New Roman"/>
                <w:sz w:val="24"/>
                <w:szCs w:val="24"/>
              </w:rPr>
              <w:t>.</w:t>
            </w:r>
          </w:p>
        </w:tc>
      </w:tr>
    </w:tbl>
    <w:p w14:paraId="492822AD" w14:textId="1F9EE86A" w:rsidR="00BE285E" w:rsidRPr="00A14819" w:rsidRDefault="00BE285E" w:rsidP="006965AE">
      <w:pPr>
        <w:snapToGrid w:val="0"/>
        <w:spacing w:before="120" w:after="120" w:line="240" w:lineRule="auto"/>
        <w:jc w:val="both"/>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t>[Ad hoc reporting]</w:t>
      </w:r>
    </w:p>
    <w:p w14:paraId="4B133B1C" w14:textId="1D3239A9" w:rsidR="00962A19" w:rsidRPr="00A14819" w:rsidRDefault="00962A19" w:rsidP="006965A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bookmarkStart w:id="9" w:name="_Ref83917631"/>
      <w:r w:rsidRPr="00A14819">
        <w:rPr>
          <w:rFonts w:ascii="Times New Roman" w:hAnsi="Times New Roman" w:cs="Times New Roman"/>
          <w:sz w:val="24"/>
          <w:szCs w:val="24"/>
        </w:rPr>
        <w:lastRenderedPageBreak/>
        <w:t xml:space="preserve">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must, promptly upon becoming aware, notify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Agent</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of:</w:t>
      </w:r>
      <w:bookmarkEnd w:id="9"/>
    </w:p>
    <w:p w14:paraId="3BCF728B" w14:textId="1CE71411" w:rsidR="00962A19"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bookmarkStart w:id="10" w:name="_Ref83917644"/>
      <w:r w:rsidRPr="00A14819">
        <w:rPr>
          <w:rFonts w:ascii="Times New Roman" w:hAnsi="Times New Roman" w:cs="Times New Roman"/>
          <w:sz w:val="24"/>
          <w:szCs w:val="24"/>
        </w:rPr>
        <w:t xml:space="preserve">details of any breach or potential breach of any of the </w:t>
      </w:r>
      <w:r w:rsidR="00E54D46" w:rsidRPr="00A14819">
        <w:rPr>
          <w:rFonts w:ascii="Times New Roman" w:hAnsi="Times New Roman" w:cs="Times New Roman"/>
          <w:sz w:val="24"/>
          <w:szCs w:val="24"/>
        </w:rPr>
        <w:t>Environmental and Social Standards</w:t>
      </w:r>
      <w:r w:rsidRPr="00A14819">
        <w:rPr>
          <w:rFonts w:ascii="Times New Roman" w:hAnsi="Times New Roman" w:cs="Times New Roman"/>
          <w:sz w:val="24"/>
          <w:szCs w:val="24"/>
        </w:rPr>
        <w:t>;</w:t>
      </w:r>
      <w:bookmarkEnd w:id="10"/>
    </w:p>
    <w:p w14:paraId="206A2261" w14:textId="11E23CEE" w:rsidR="00962A19"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within </w:t>
      </w:r>
      <w:r w:rsidR="003C1BE2" w:rsidRPr="00A14819">
        <w:rPr>
          <w:rFonts w:ascii="Times New Roman" w:hAnsi="Times New Roman" w:cs="Times New Roman"/>
          <w:sz w:val="24"/>
          <w:szCs w:val="24"/>
        </w:rPr>
        <w:t>[</w:t>
      </w:r>
      <w:r w:rsidR="002B618D" w:rsidRPr="00A14819">
        <w:rPr>
          <w:rFonts w:ascii="Times New Roman" w:hAnsi="Times New Roman" w:cs="Times New Roman"/>
          <w:sz w:val="24"/>
          <w:szCs w:val="24"/>
        </w:rPr>
        <w:tab/>
        <w:t xml:space="preserve">] </w:t>
      </w:r>
      <w:r w:rsidRPr="00A14819">
        <w:rPr>
          <w:rFonts w:ascii="Times New Roman" w:hAnsi="Times New Roman" w:cs="Times New Roman"/>
          <w:sz w:val="24"/>
          <w:szCs w:val="24"/>
        </w:rPr>
        <w:t>Business Days after becoming aware of a material breach of an Environmental and Social Standard, details of the Environmental and Social Remedial Plan;</w:t>
      </w:r>
    </w:p>
    <w:p w14:paraId="22B59B96" w14:textId="2D8A0B41" w:rsidR="00962A19"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any Environmental and Social Claim which is current, or to its knowledge, pending or threatened</w:t>
      </w:r>
      <w:r w:rsidR="0002205B" w:rsidRPr="00A14819">
        <w:rPr>
          <w:rFonts w:ascii="Times New Roman" w:hAnsi="Times New Roman" w:cs="Times New Roman"/>
          <w:sz w:val="24"/>
          <w:szCs w:val="24"/>
        </w:rPr>
        <w:t xml:space="preserve"> against it or any [Major Project Party] or in relation to the [Project]</w:t>
      </w:r>
      <w:r w:rsidRPr="00A14819">
        <w:rPr>
          <w:rFonts w:ascii="Times New Roman" w:hAnsi="Times New Roman" w:cs="Times New Roman"/>
          <w:sz w:val="24"/>
          <w:szCs w:val="24"/>
        </w:rPr>
        <w:t>;</w:t>
      </w:r>
    </w:p>
    <w:p w14:paraId="2C1E93BF" w14:textId="7775DDA3" w:rsidR="00962A19"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any circumstances reasonably likely to result in an Environmental and Social Claim;</w:t>
      </w:r>
    </w:p>
    <w:p w14:paraId="2C16E074" w14:textId="380A1F08" w:rsidR="00962A19"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any suspension, revocation or modification of any Environmental and Social Approval; or</w:t>
      </w:r>
    </w:p>
    <w:p w14:paraId="6E7A8A2E" w14:textId="77777777" w:rsidR="00593945" w:rsidRPr="00A14819" w:rsidRDefault="00962A19" w:rsidP="006965AE">
      <w:pPr>
        <w:pStyle w:val="ListParagraph"/>
        <w:numPr>
          <w:ilvl w:val="0"/>
          <w:numId w:val="7"/>
        </w:numPr>
        <w:snapToGrid w:val="0"/>
        <w:spacing w:before="120" w:after="120" w:line="240" w:lineRule="auto"/>
        <w:ind w:left="1134" w:hanging="567"/>
        <w:contextualSpacing w:val="0"/>
        <w:jc w:val="both"/>
        <w:rPr>
          <w:rFonts w:ascii="Times New Roman" w:hAnsi="Times New Roman" w:cs="Times New Roman"/>
          <w:sz w:val="24"/>
          <w:szCs w:val="24"/>
        </w:rPr>
      </w:pPr>
      <w:bookmarkStart w:id="11" w:name="_Ref83917635"/>
      <w:r w:rsidRPr="00A14819">
        <w:rPr>
          <w:rFonts w:ascii="Times New Roman" w:hAnsi="Times New Roman" w:cs="Times New Roman"/>
          <w:sz w:val="24"/>
          <w:szCs w:val="24"/>
        </w:rPr>
        <w:t xml:space="preserve">any Environmental and Social Claims, </w:t>
      </w:r>
      <w:r w:rsidR="001417BC" w:rsidRPr="00A14819">
        <w:rPr>
          <w:rFonts w:ascii="Times New Roman" w:hAnsi="Times New Roman" w:cs="Times New Roman"/>
          <w:sz w:val="24"/>
          <w:szCs w:val="24"/>
        </w:rPr>
        <w:t>major incidents or force majeure events</w:t>
      </w:r>
      <w:r w:rsidRPr="00A14819">
        <w:rPr>
          <w:rFonts w:ascii="Times New Roman" w:hAnsi="Times New Roman" w:cs="Times New Roman"/>
          <w:sz w:val="24"/>
          <w:szCs w:val="24"/>
        </w:rPr>
        <w:t xml:space="preserve"> affecting the </w:t>
      </w:r>
      <w:r w:rsidR="00E54D46" w:rsidRPr="00A14819">
        <w:rPr>
          <w:rFonts w:ascii="Times New Roman" w:hAnsi="Times New Roman" w:cs="Times New Roman"/>
          <w:sz w:val="24"/>
          <w:szCs w:val="24"/>
        </w:rPr>
        <w:t>[Project]</w:t>
      </w:r>
      <w:r w:rsidRPr="00A14819">
        <w:rPr>
          <w:rFonts w:ascii="Times New Roman" w:hAnsi="Times New Roman" w:cs="Times New Roman"/>
          <w:sz w:val="24"/>
          <w:szCs w:val="24"/>
        </w:rPr>
        <w:t xml:space="preserve"> generally</w:t>
      </w:r>
      <w:r w:rsidR="00593945" w:rsidRPr="00A14819">
        <w:rPr>
          <w:rFonts w:ascii="Times New Roman" w:hAnsi="Times New Roman" w:cs="Times New Roman"/>
          <w:sz w:val="24"/>
          <w:szCs w:val="24"/>
        </w:rPr>
        <w:t>,</w:t>
      </w:r>
      <w:bookmarkEnd w:id="11"/>
    </w:p>
    <w:p w14:paraId="3D8A1057" w14:textId="77777777" w:rsidR="000C506C" w:rsidRDefault="00593945" w:rsidP="000C506C">
      <w:pPr>
        <w:snapToGrid w:val="0"/>
        <w:spacing w:before="120" w:after="120" w:line="240" w:lineRule="auto"/>
        <w:ind w:left="567"/>
        <w:jc w:val="both"/>
        <w:rPr>
          <w:rFonts w:ascii="Times New Roman" w:hAnsi="Times New Roman" w:cs="Times New Roman"/>
          <w:sz w:val="24"/>
          <w:szCs w:val="24"/>
        </w:rPr>
      </w:pPr>
      <w:r w:rsidRPr="00A14819">
        <w:rPr>
          <w:rFonts w:ascii="Times New Roman" w:hAnsi="Times New Roman" w:cs="Times New Roman"/>
          <w:sz w:val="24"/>
          <w:szCs w:val="24"/>
        </w:rPr>
        <w:t xml:space="preserve">and where an event or circumstance notified pursuant to paragraphs </w:t>
      </w:r>
      <w:r w:rsidRPr="00A14819">
        <w:rPr>
          <w:rFonts w:ascii="Times New Roman" w:hAnsi="Times New Roman" w:cs="Times New Roman"/>
          <w:sz w:val="24"/>
          <w:szCs w:val="24"/>
        </w:rPr>
        <w:fldChar w:fldCharType="begin"/>
      </w:r>
      <w:r w:rsidRPr="00A14819">
        <w:rPr>
          <w:rFonts w:ascii="Times New Roman" w:hAnsi="Times New Roman" w:cs="Times New Roman"/>
          <w:sz w:val="24"/>
          <w:szCs w:val="24"/>
        </w:rPr>
        <w:instrText xml:space="preserve"> REF _Ref83917631 \r \h </w:instrText>
      </w:r>
      <w:r w:rsidR="00A14819" w:rsidRPr="00A14819">
        <w:rPr>
          <w:rFonts w:ascii="Times New Roman" w:hAnsi="Times New Roman" w:cs="Times New Roman"/>
          <w:sz w:val="24"/>
          <w:szCs w:val="24"/>
        </w:rPr>
        <w:instrText xml:space="preserve"> \* MERGEFORMAT </w:instrText>
      </w:r>
      <w:r w:rsidRPr="00A14819">
        <w:rPr>
          <w:rFonts w:ascii="Times New Roman" w:hAnsi="Times New Roman" w:cs="Times New Roman"/>
          <w:sz w:val="24"/>
          <w:szCs w:val="24"/>
        </w:rPr>
      </w:r>
      <w:r w:rsidRPr="00A14819">
        <w:rPr>
          <w:rFonts w:ascii="Times New Roman" w:hAnsi="Times New Roman" w:cs="Times New Roman"/>
          <w:sz w:val="24"/>
          <w:szCs w:val="24"/>
        </w:rPr>
        <w:fldChar w:fldCharType="separate"/>
      </w:r>
      <w:r w:rsidR="00F37678" w:rsidRPr="00A14819">
        <w:rPr>
          <w:rFonts w:ascii="Times New Roman" w:hAnsi="Times New Roman" w:cs="Times New Roman"/>
          <w:sz w:val="24"/>
          <w:szCs w:val="24"/>
          <w:cs/>
        </w:rPr>
        <w:t>‎</w:t>
      </w:r>
      <w:r w:rsidR="00F37678" w:rsidRPr="00A14819">
        <w:rPr>
          <w:rFonts w:ascii="Times New Roman" w:hAnsi="Times New Roman" w:cs="Times New Roman"/>
          <w:sz w:val="24"/>
          <w:szCs w:val="24"/>
        </w:rPr>
        <w:t>(c)</w:t>
      </w:r>
      <w:r w:rsidRPr="00A14819">
        <w:rPr>
          <w:rFonts w:ascii="Times New Roman" w:hAnsi="Times New Roman" w:cs="Times New Roman"/>
          <w:sz w:val="24"/>
          <w:szCs w:val="24"/>
        </w:rPr>
        <w:fldChar w:fldCharType="end"/>
      </w:r>
      <w:r w:rsidRPr="00A14819">
        <w:rPr>
          <w:rFonts w:ascii="Times New Roman" w:hAnsi="Times New Roman" w:cs="Times New Roman"/>
          <w:sz w:val="24"/>
          <w:szCs w:val="24"/>
        </w:rPr>
        <w:fldChar w:fldCharType="begin"/>
      </w:r>
      <w:r w:rsidRPr="00A14819">
        <w:rPr>
          <w:rFonts w:ascii="Times New Roman" w:hAnsi="Times New Roman" w:cs="Times New Roman"/>
          <w:sz w:val="24"/>
          <w:szCs w:val="24"/>
        </w:rPr>
        <w:instrText xml:space="preserve"> REF _Ref83917644 \r \h </w:instrText>
      </w:r>
      <w:r w:rsidR="00A14819" w:rsidRPr="00A14819">
        <w:rPr>
          <w:rFonts w:ascii="Times New Roman" w:hAnsi="Times New Roman" w:cs="Times New Roman"/>
          <w:sz w:val="24"/>
          <w:szCs w:val="24"/>
        </w:rPr>
        <w:instrText xml:space="preserve"> \* MERGEFORMAT </w:instrText>
      </w:r>
      <w:r w:rsidRPr="00A14819">
        <w:rPr>
          <w:rFonts w:ascii="Times New Roman" w:hAnsi="Times New Roman" w:cs="Times New Roman"/>
          <w:sz w:val="24"/>
          <w:szCs w:val="24"/>
        </w:rPr>
      </w:r>
      <w:r w:rsidRPr="00A14819">
        <w:rPr>
          <w:rFonts w:ascii="Times New Roman" w:hAnsi="Times New Roman" w:cs="Times New Roman"/>
          <w:sz w:val="24"/>
          <w:szCs w:val="24"/>
        </w:rPr>
        <w:fldChar w:fldCharType="separate"/>
      </w:r>
      <w:r w:rsidR="00F37678" w:rsidRPr="00A14819">
        <w:rPr>
          <w:rFonts w:ascii="Times New Roman" w:hAnsi="Times New Roman" w:cs="Times New Roman"/>
          <w:sz w:val="24"/>
          <w:szCs w:val="24"/>
          <w:cs/>
        </w:rPr>
        <w:t>‎</w:t>
      </w:r>
      <w:r w:rsidR="00F37678" w:rsidRPr="00A14819">
        <w:rPr>
          <w:rFonts w:ascii="Times New Roman" w:hAnsi="Times New Roman" w:cs="Times New Roman"/>
          <w:sz w:val="24"/>
          <w:szCs w:val="24"/>
        </w:rPr>
        <w:t>(i)</w:t>
      </w:r>
      <w:r w:rsidRPr="00A14819">
        <w:rPr>
          <w:rFonts w:ascii="Times New Roman" w:hAnsi="Times New Roman" w:cs="Times New Roman"/>
          <w:sz w:val="24"/>
          <w:szCs w:val="24"/>
        </w:rPr>
        <w:fldChar w:fldCharType="end"/>
      </w:r>
      <w:r w:rsidRPr="00A14819">
        <w:rPr>
          <w:rFonts w:ascii="Times New Roman" w:hAnsi="Times New Roman" w:cs="Times New Roman"/>
          <w:sz w:val="24"/>
          <w:szCs w:val="24"/>
        </w:rPr>
        <w:t xml:space="preserve"> to </w:t>
      </w:r>
      <w:r w:rsidRPr="00A14819">
        <w:rPr>
          <w:rFonts w:ascii="Times New Roman" w:hAnsi="Times New Roman" w:cs="Times New Roman"/>
          <w:sz w:val="24"/>
          <w:szCs w:val="24"/>
        </w:rPr>
        <w:fldChar w:fldCharType="begin"/>
      </w:r>
      <w:r w:rsidRPr="00A14819">
        <w:rPr>
          <w:rFonts w:ascii="Times New Roman" w:hAnsi="Times New Roman" w:cs="Times New Roman"/>
          <w:sz w:val="24"/>
          <w:szCs w:val="24"/>
        </w:rPr>
        <w:instrText xml:space="preserve"> REF _Ref83917631 \r \h </w:instrText>
      </w:r>
      <w:r w:rsidR="00A14819" w:rsidRPr="00A14819">
        <w:rPr>
          <w:rFonts w:ascii="Times New Roman" w:hAnsi="Times New Roman" w:cs="Times New Roman"/>
          <w:sz w:val="24"/>
          <w:szCs w:val="24"/>
        </w:rPr>
        <w:instrText xml:space="preserve"> \* MERGEFORMAT </w:instrText>
      </w:r>
      <w:r w:rsidRPr="00A14819">
        <w:rPr>
          <w:rFonts w:ascii="Times New Roman" w:hAnsi="Times New Roman" w:cs="Times New Roman"/>
          <w:sz w:val="24"/>
          <w:szCs w:val="24"/>
        </w:rPr>
      </w:r>
      <w:r w:rsidRPr="00A14819">
        <w:rPr>
          <w:rFonts w:ascii="Times New Roman" w:hAnsi="Times New Roman" w:cs="Times New Roman"/>
          <w:sz w:val="24"/>
          <w:szCs w:val="24"/>
        </w:rPr>
        <w:fldChar w:fldCharType="separate"/>
      </w:r>
      <w:r w:rsidR="00F37678" w:rsidRPr="00A14819">
        <w:rPr>
          <w:rFonts w:ascii="Times New Roman" w:hAnsi="Times New Roman" w:cs="Times New Roman"/>
          <w:sz w:val="24"/>
          <w:szCs w:val="24"/>
          <w:cs/>
        </w:rPr>
        <w:t>‎</w:t>
      </w:r>
      <w:r w:rsidR="00F37678" w:rsidRPr="00A14819">
        <w:rPr>
          <w:rFonts w:ascii="Times New Roman" w:hAnsi="Times New Roman" w:cs="Times New Roman"/>
          <w:sz w:val="24"/>
          <w:szCs w:val="24"/>
        </w:rPr>
        <w:t>(c)</w:t>
      </w:r>
      <w:r w:rsidRPr="00A14819">
        <w:rPr>
          <w:rFonts w:ascii="Times New Roman" w:hAnsi="Times New Roman" w:cs="Times New Roman"/>
          <w:sz w:val="24"/>
          <w:szCs w:val="24"/>
        </w:rPr>
        <w:fldChar w:fldCharType="end"/>
      </w:r>
      <w:r w:rsidRPr="00A14819">
        <w:rPr>
          <w:rFonts w:ascii="Times New Roman" w:hAnsi="Times New Roman" w:cs="Times New Roman"/>
          <w:sz w:val="24"/>
          <w:szCs w:val="24"/>
        </w:rPr>
        <w:fldChar w:fldCharType="begin"/>
      </w:r>
      <w:r w:rsidRPr="00A14819">
        <w:rPr>
          <w:rFonts w:ascii="Times New Roman" w:hAnsi="Times New Roman" w:cs="Times New Roman"/>
          <w:sz w:val="24"/>
          <w:szCs w:val="24"/>
        </w:rPr>
        <w:instrText xml:space="preserve"> REF _Ref83917635 \r \h </w:instrText>
      </w:r>
      <w:r w:rsidR="00A14819" w:rsidRPr="00A14819">
        <w:rPr>
          <w:rFonts w:ascii="Times New Roman" w:hAnsi="Times New Roman" w:cs="Times New Roman"/>
          <w:sz w:val="24"/>
          <w:szCs w:val="24"/>
        </w:rPr>
        <w:instrText xml:space="preserve"> \* MERGEFORMAT </w:instrText>
      </w:r>
      <w:r w:rsidRPr="00A14819">
        <w:rPr>
          <w:rFonts w:ascii="Times New Roman" w:hAnsi="Times New Roman" w:cs="Times New Roman"/>
          <w:sz w:val="24"/>
          <w:szCs w:val="24"/>
        </w:rPr>
      </w:r>
      <w:r w:rsidRPr="00A14819">
        <w:rPr>
          <w:rFonts w:ascii="Times New Roman" w:hAnsi="Times New Roman" w:cs="Times New Roman"/>
          <w:sz w:val="24"/>
          <w:szCs w:val="24"/>
        </w:rPr>
        <w:fldChar w:fldCharType="separate"/>
      </w:r>
      <w:r w:rsidR="00F37678" w:rsidRPr="00A14819">
        <w:rPr>
          <w:rFonts w:ascii="Times New Roman" w:hAnsi="Times New Roman" w:cs="Times New Roman"/>
          <w:sz w:val="24"/>
          <w:szCs w:val="24"/>
          <w:cs/>
        </w:rPr>
        <w:t>‎</w:t>
      </w:r>
      <w:r w:rsidR="00F37678" w:rsidRPr="00A14819">
        <w:rPr>
          <w:rFonts w:ascii="Times New Roman" w:hAnsi="Times New Roman" w:cs="Times New Roman"/>
          <w:sz w:val="24"/>
          <w:szCs w:val="24"/>
        </w:rPr>
        <w:t>(vi)</w:t>
      </w:r>
      <w:r w:rsidRPr="00A14819">
        <w:rPr>
          <w:rFonts w:ascii="Times New Roman" w:hAnsi="Times New Roman" w:cs="Times New Roman"/>
          <w:sz w:val="24"/>
          <w:szCs w:val="24"/>
        </w:rPr>
        <w:fldChar w:fldCharType="end"/>
      </w:r>
      <w:r w:rsidRPr="00A14819">
        <w:rPr>
          <w:rFonts w:ascii="Times New Roman" w:hAnsi="Times New Roman" w:cs="Times New Roman"/>
          <w:sz w:val="24"/>
          <w:szCs w:val="24"/>
        </w:rPr>
        <w:t xml:space="preserve"> above is a required disclosure item under the Environmental and Social Monitoring Report, the [Borrower] must ensure that such event or circumstance is included in the Environmental and Social Monitoring Report for the relevant period.</w:t>
      </w:r>
    </w:p>
    <w:tbl>
      <w:tblPr>
        <w:tblStyle w:val="TableGrid"/>
        <w:tblW w:w="0" w:type="auto"/>
        <w:shd w:val="clear" w:color="auto" w:fill="92D050"/>
        <w:tblLook w:val="04A0" w:firstRow="1" w:lastRow="0" w:firstColumn="1" w:lastColumn="0" w:noHBand="0" w:noVBand="1"/>
      </w:tblPr>
      <w:tblGrid>
        <w:gridCol w:w="9016"/>
      </w:tblGrid>
      <w:tr w:rsidR="000C506C" w14:paraId="094A740D" w14:textId="77777777" w:rsidTr="000C506C">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44ABAE4C" w14:textId="49646ABB" w:rsidR="000C506C" w:rsidRDefault="000C506C">
            <w:pPr>
              <w:snapToGrid w:val="0"/>
              <w:spacing w:before="120" w:after="120"/>
              <w:rPr>
                <w:rFonts w:ascii="Calibri" w:hAnsi="Calibri" w:cs="Calibri"/>
              </w:rPr>
            </w:pPr>
            <w:r w:rsidRPr="000C506C">
              <w:rPr>
                <w:rFonts w:cs="Times New Roman"/>
                <w:sz w:val="24"/>
                <w:szCs w:val="24"/>
              </w:rPr>
              <w:t>The above clause to be used in circumstances where there are strict legal standards that apply for certain assets such as conditions to planning approvals, discharges or emissions (e.g. wastewater treatment plant water quality standards and / or for construction assets adjacent to biodiversity-sensitive areas</w:t>
            </w:r>
            <w:r w:rsidR="00864909">
              <w:rPr>
                <w:rFonts w:cs="Times New Roman"/>
                <w:sz w:val="24"/>
                <w:szCs w:val="24"/>
              </w:rPr>
              <w:t>)</w:t>
            </w:r>
            <w:r w:rsidRPr="000C506C">
              <w:rPr>
                <w:rFonts w:cs="Times New Roman"/>
                <w:sz w:val="24"/>
                <w:szCs w:val="24"/>
              </w:rPr>
              <w:t>.</w:t>
            </w:r>
            <w:r>
              <w:rPr>
                <w:rFonts w:ascii="Calibri" w:hAnsi="Calibri" w:cs="Calibri"/>
              </w:rPr>
              <w:t xml:space="preserve"> </w:t>
            </w:r>
          </w:p>
        </w:tc>
      </w:tr>
    </w:tbl>
    <w:p w14:paraId="7BFD7C1B" w14:textId="77777777" w:rsidR="000C506C" w:rsidRDefault="000C506C" w:rsidP="000C506C">
      <w:pPr>
        <w:snapToGrid w:val="0"/>
        <w:spacing w:before="120" w:after="120" w:line="240" w:lineRule="auto"/>
        <w:jc w:val="both"/>
        <w:rPr>
          <w:rFonts w:ascii="Times New Roman" w:hAnsi="Times New Roman" w:cs="Times New Roman"/>
          <w:sz w:val="24"/>
          <w:szCs w:val="24"/>
        </w:rPr>
      </w:pPr>
    </w:p>
    <w:p w14:paraId="15E6DAA5" w14:textId="74A1BDDB" w:rsidR="00BE285E" w:rsidRPr="00A14819" w:rsidRDefault="00BE285E" w:rsidP="000C506C">
      <w:pPr>
        <w:snapToGrid w:val="0"/>
        <w:spacing w:before="120" w:after="120" w:line="240" w:lineRule="auto"/>
        <w:jc w:val="both"/>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t>[Catch-All]</w:t>
      </w:r>
    </w:p>
    <w:p w14:paraId="0BC9B628" w14:textId="7A56FD43" w:rsidR="00605482" w:rsidRDefault="00962A19" w:rsidP="006965A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 xml:space="preserve">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shall furnish promptly to the </w:t>
      </w:r>
      <w:r w:rsidR="00E54D46" w:rsidRPr="00A14819">
        <w:rPr>
          <w:rFonts w:ascii="Times New Roman" w:hAnsi="Times New Roman" w:cs="Times New Roman"/>
          <w:sz w:val="24"/>
          <w:szCs w:val="24"/>
        </w:rPr>
        <w:t>[</w:t>
      </w:r>
      <w:r w:rsidR="00FC2CF2" w:rsidRPr="00A14819">
        <w:rPr>
          <w:rFonts w:ascii="Times New Roman" w:hAnsi="Times New Roman" w:cs="Times New Roman"/>
          <w:sz w:val="24"/>
          <w:szCs w:val="24"/>
        </w:rPr>
        <w:t>Agent</w:t>
      </w:r>
      <w:r w:rsidR="00E54D46" w:rsidRPr="00A14819">
        <w:rPr>
          <w:rFonts w:ascii="Times New Roman" w:hAnsi="Times New Roman" w:cs="Times New Roman"/>
          <w:sz w:val="24"/>
          <w:szCs w:val="24"/>
        </w:rPr>
        <w:t>]</w:t>
      </w:r>
      <w:r w:rsidRPr="00A14819">
        <w:rPr>
          <w:rFonts w:ascii="Times New Roman" w:hAnsi="Times New Roman" w:cs="Times New Roman"/>
          <w:sz w:val="24"/>
          <w:szCs w:val="24"/>
        </w:rPr>
        <w:t xml:space="preserve"> such information as the </w:t>
      </w:r>
      <w:r w:rsidR="002B618D" w:rsidRPr="00A14819">
        <w:rPr>
          <w:rFonts w:ascii="Times New Roman" w:hAnsi="Times New Roman" w:cs="Times New Roman"/>
          <w:sz w:val="24"/>
          <w:szCs w:val="24"/>
        </w:rPr>
        <w:t>[</w:t>
      </w:r>
      <w:r w:rsidRPr="00A14819">
        <w:rPr>
          <w:rFonts w:ascii="Times New Roman" w:hAnsi="Times New Roman" w:cs="Times New Roman"/>
          <w:sz w:val="24"/>
          <w:szCs w:val="24"/>
        </w:rPr>
        <w:t>Finance Parties</w:t>
      </w:r>
      <w:r w:rsidR="002B618D" w:rsidRPr="00A14819">
        <w:rPr>
          <w:rFonts w:ascii="Times New Roman" w:hAnsi="Times New Roman" w:cs="Times New Roman"/>
          <w:sz w:val="24"/>
          <w:szCs w:val="24"/>
        </w:rPr>
        <w:t>]</w:t>
      </w:r>
      <w:r w:rsidRPr="00A14819">
        <w:rPr>
          <w:rFonts w:ascii="Times New Roman" w:hAnsi="Times New Roman" w:cs="Times New Roman"/>
          <w:sz w:val="24"/>
          <w:szCs w:val="24"/>
        </w:rPr>
        <w:t xml:space="preserve"> may from time to time reasonably require with respect </w:t>
      </w:r>
      <w:r w:rsidR="00847A03" w:rsidRPr="00A14819">
        <w:rPr>
          <w:rFonts w:ascii="Times New Roman" w:hAnsi="Times New Roman" w:cs="Times New Roman"/>
          <w:sz w:val="24"/>
          <w:szCs w:val="24"/>
        </w:rPr>
        <w:t>to Environmental and Social Matters</w:t>
      </w:r>
      <w:bookmarkStart w:id="12" w:name="_Ref495017915"/>
      <w:r w:rsidR="00C94F2D">
        <w:rPr>
          <w:rFonts w:ascii="Times New Roman" w:hAnsi="Times New Roman" w:cs="Times New Roman"/>
          <w:sz w:val="24"/>
          <w:szCs w:val="24"/>
        </w:rPr>
        <w:t>.</w:t>
      </w:r>
    </w:p>
    <w:tbl>
      <w:tblPr>
        <w:tblStyle w:val="TableGrid"/>
        <w:tblW w:w="0" w:type="auto"/>
        <w:shd w:val="clear" w:color="auto" w:fill="92D050"/>
        <w:tblLook w:val="04A0" w:firstRow="1" w:lastRow="0" w:firstColumn="1" w:lastColumn="0" w:noHBand="0" w:noVBand="1"/>
      </w:tblPr>
      <w:tblGrid>
        <w:gridCol w:w="9016"/>
      </w:tblGrid>
      <w:tr w:rsidR="00403698" w14:paraId="451E1232" w14:textId="77777777" w:rsidTr="00403698">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6E156058" w14:textId="05A07562" w:rsidR="00403698" w:rsidRDefault="00403698">
            <w:pPr>
              <w:snapToGrid w:val="0"/>
              <w:spacing w:before="120" w:after="120"/>
              <w:rPr>
                <w:rFonts w:ascii="Calibri" w:hAnsi="Calibri" w:cs="Calibri"/>
              </w:rPr>
            </w:pPr>
            <w:r w:rsidRPr="00403698">
              <w:rPr>
                <w:rFonts w:cs="Times New Roman"/>
                <w:sz w:val="24"/>
                <w:szCs w:val="24"/>
              </w:rPr>
              <w:t>This may only be needed to the extent the Ad hoc reporting is not required by the lenders and the lenders do not have the ability to request for more information by another mechanism in the Finance Documents.</w:t>
            </w:r>
            <w:r w:rsidR="00C85871">
              <w:rPr>
                <w:rFonts w:cs="Times New Roman"/>
                <w:sz w:val="24"/>
                <w:szCs w:val="24"/>
              </w:rPr>
              <w:t xml:space="preserve">  It is anticipated that lenders will have rights to request information required by the [Agent] to verify the  contents of the Environmental and Social Monitoring Report.</w:t>
            </w:r>
          </w:p>
        </w:tc>
      </w:tr>
    </w:tbl>
    <w:p w14:paraId="651B0F62" w14:textId="77777777" w:rsidR="00C94F2D" w:rsidRPr="00C94F2D" w:rsidRDefault="00C94F2D" w:rsidP="00C94F2D">
      <w:pPr>
        <w:snapToGrid w:val="0"/>
        <w:spacing w:before="120" w:after="120" w:line="240" w:lineRule="auto"/>
        <w:jc w:val="both"/>
        <w:rPr>
          <w:rFonts w:ascii="Times New Roman" w:hAnsi="Times New Roman" w:cs="Times New Roman"/>
          <w:sz w:val="24"/>
          <w:szCs w:val="24"/>
        </w:rPr>
      </w:pPr>
    </w:p>
    <w:bookmarkEnd w:id="12"/>
    <w:p w14:paraId="249599B2" w14:textId="09C7A53A" w:rsidR="00203740" w:rsidRPr="00A14819" w:rsidRDefault="00203740" w:rsidP="006965AE">
      <w:pPr>
        <w:snapToGrid w:val="0"/>
        <w:spacing w:before="120" w:after="120" w:line="240" w:lineRule="auto"/>
        <w:jc w:val="both"/>
        <w:rPr>
          <w:rFonts w:ascii="Times New Roman" w:hAnsi="Times New Roman" w:cs="Times New Roman"/>
          <w:b/>
          <w:bCs/>
          <w:color w:val="0070C0"/>
          <w:sz w:val="24"/>
          <w:szCs w:val="24"/>
        </w:rPr>
      </w:pPr>
      <w:r w:rsidRPr="00A14819">
        <w:rPr>
          <w:rFonts w:ascii="Times New Roman" w:hAnsi="Times New Roman" w:cs="Times New Roman"/>
          <w:b/>
          <w:bCs/>
          <w:color w:val="0070C0"/>
          <w:sz w:val="24"/>
          <w:szCs w:val="24"/>
        </w:rPr>
        <w:t>[</w:t>
      </w:r>
      <w:r w:rsidR="00605482" w:rsidRPr="00A14819">
        <w:rPr>
          <w:rFonts w:ascii="Times New Roman" w:hAnsi="Times New Roman" w:cs="Times New Roman"/>
          <w:b/>
          <w:bCs/>
          <w:color w:val="0070C0"/>
          <w:sz w:val="24"/>
          <w:szCs w:val="24"/>
        </w:rPr>
        <w:t>Environmental and Social Action Plan</w:t>
      </w:r>
      <w:r w:rsidRPr="00A14819">
        <w:rPr>
          <w:rFonts w:ascii="Times New Roman" w:hAnsi="Times New Roman" w:cs="Times New Roman"/>
          <w:b/>
          <w:bCs/>
          <w:color w:val="0070C0"/>
          <w:sz w:val="24"/>
          <w:szCs w:val="24"/>
        </w:rPr>
        <w:t>]</w:t>
      </w:r>
    </w:p>
    <w:p w14:paraId="48F50D65" w14:textId="117E438A" w:rsidR="002D2188" w:rsidRPr="00A14819" w:rsidRDefault="00E5536F" w:rsidP="006965A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The</w:t>
      </w:r>
      <w:r w:rsidR="002D2188" w:rsidRPr="00A14819">
        <w:rPr>
          <w:rFonts w:ascii="Times New Roman" w:hAnsi="Times New Roman" w:cs="Times New Roman"/>
          <w:sz w:val="24"/>
          <w:szCs w:val="24"/>
        </w:rPr>
        <w:t xml:space="preserve"> </w:t>
      </w:r>
      <w:r w:rsidR="00FC2CF2" w:rsidRPr="00A14819">
        <w:rPr>
          <w:rFonts w:ascii="Times New Roman" w:hAnsi="Times New Roman" w:cs="Times New Roman"/>
          <w:sz w:val="24"/>
          <w:szCs w:val="24"/>
        </w:rPr>
        <w:t>[Borrower]</w:t>
      </w:r>
      <w:r w:rsidR="002D2188" w:rsidRPr="00A14819">
        <w:rPr>
          <w:rFonts w:ascii="Times New Roman" w:hAnsi="Times New Roman" w:cs="Times New Roman"/>
          <w:sz w:val="24"/>
          <w:szCs w:val="24"/>
        </w:rPr>
        <w:t xml:space="preserve"> shall diligently implement and adhere to the Environmental and Social Action Plan and monitor the implementation of the Environmental and Social Action Plan. </w:t>
      </w:r>
    </w:p>
    <w:p w14:paraId="7032CE93" w14:textId="37264148" w:rsidR="00DC7F82" w:rsidRPr="00BE072D" w:rsidRDefault="00DC7F82" w:rsidP="007C4812">
      <w:pPr>
        <w:snapToGrid w:val="0"/>
        <w:spacing w:before="120" w:after="120" w:line="240" w:lineRule="auto"/>
        <w:jc w:val="both"/>
        <w:rPr>
          <w:rFonts w:ascii="Times New Roman" w:hAnsi="Times New Roman" w:cs="Times New Roman"/>
          <w:b/>
          <w:bCs/>
          <w:color w:val="0070C0"/>
          <w:sz w:val="24"/>
          <w:szCs w:val="24"/>
        </w:rPr>
      </w:pPr>
      <w:r w:rsidRPr="00BE072D">
        <w:rPr>
          <w:rFonts w:ascii="Times New Roman" w:hAnsi="Times New Roman" w:cs="Times New Roman"/>
          <w:b/>
          <w:bCs/>
          <w:color w:val="0070C0"/>
          <w:sz w:val="24"/>
          <w:szCs w:val="24"/>
        </w:rPr>
        <w:t>[Environmental and Social Monitoring Report]</w:t>
      </w:r>
    </w:p>
    <w:p w14:paraId="09BC5218" w14:textId="0639198D" w:rsidR="00D7720D" w:rsidRPr="00A14819" w:rsidRDefault="00995C87" w:rsidP="006965AE">
      <w:pPr>
        <w:pStyle w:val="ListParagraph"/>
        <w:numPr>
          <w:ilvl w:val="0"/>
          <w:numId w:val="1"/>
        </w:numPr>
        <w:snapToGrid w:val="0"/>
        <w:spacing w:before="120" w:after="120" w:line="240" w:lineRule="auto"/>
        <w:ind w:left="567" w:hanging="567"/>
        <w:contextualSpacing w:val="0"/>
        <w:jc w:val="both"/>
        <w:rPr>
          <w:rFonts w:ascii="Times New Roman" w:hAnsi="Times New Roman" w:cs="Times New Roman"/>
          <w:sz w:val="24"/>
          <w:szCs w:val="24"/>
        </w:rPr>
      </w:pPr>
      <w:bookmarkStart w:id="13" w:name="_Ref88471423"/>
      <w:r w:rsidRPr="00A14819">
        <w:rPr>
          <w:rFonts w:ascii="Times New Roman" w:hAnsi="Times New Roman" w:cs="Times New Roman"/>
          <w:sz w:val="24"/>
          <w:szCs w:val="24"/>
        </w:rPr>
        <w:t xml:space="preserve">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w:t>
      </w:r>
      <w:r w:rsidR="00DC3593">
        <w:rPr>
          <w:rFonts w:ascii="Times New Roman" w:hAnsi="Times New Roman" w:cs="Times New Roman"/>
          <w:sz w:val="24"/>
          <w:szCs w:val="24"/>
        </w:rPr>
        <w:t>shall</w:t>
      </w:r>
      <w:r w:rsidRPr="00A14819">
        <w:rPr>
          <w:rFonts w:ascii="Times New Roman" w:hAnsi="Times New Roman" w:cs="Times New Roman"/>
          <w:sz w:val="24"/>
          <w:szCs w:val="24"/>
        </w:rPr>
        <w:t xml:space="preserve"> not amend</w:t>
      </w:r>
      <w:r w:rsidR="00E90F4E" w:rsidRPr="00A14819">
        <w:rPr>
          <w:rFonts w:ascii="Times New Roman" w:hAnsi="Times New Roman" w:cs="Times New Roman"/>
          <w:sz w:val="24"/>
          <w:szCs w:val="24"/>
        </w:rPr>
        <w:t xml:space="preserve"> or replace</w:t>
      </w:r>
      <w:r w:rsidRPr="00A14819">
        <w:rPr>
          <w:rFonts w:ascii="Times New Roman" w:hAnsi="Times New Roman" w:cs="Times New Roman"/>
          <w:sz w:val="24"/>
          <w:szCs w:val="24"/>
        </w:rPr>
        <w:t xml:space="preserve"> </w:t>
      </w:r>
      <w:r w:rsidR="00E90F4E" w:rsidRPr="00A14819">
        <w:rPr>
          <w:rFonts w:ascii="Times New Roman" w:hAnsi="Times New Roman" w:cs="Times New Roman"/>
          <w:sz w:val="24"/>
          <w:szCs w:val="24"/>
        </w:rPr>
        <w:t>any</w:t>
      </w:r>
      <w:r w:rsidRPr="00A14819">
        <w:rPr>
          <w:rFonts w:ascii="Times New Roman" w:hAnsi="Times New Roman" w:cs="Times New Roman"/>
          <w:sz w:val="24"/>
          <w:szCs w:val="24"/>
        </w:rPr>
        <w:t xml:space="preserve"> </w:t>
      </w:r>
      <w:r w:rsidR="00E90F4E" w:rsidRPr="00A14819">
        <w:rPr>
          <w:rFonts w:ascii="Times New Roman" w:hAnsi="Times New Roman" w:cs="Times New Roman"/>
          <w:sz w:val="24"/>
          <w:szCs w:val="24"/>
        </w:rPr>
        <w:t xml:space="preserve">of the </w:t>
      </w:r>
      <w:r w:rsidR="00E57338" w:rsidRPr="00A14819">
        <w:rPr>
          <w:rFonts w:ascii="Times New Roman" w:hAnsi="Times New Roman" w:cs="Times New Roman"/>
          <w:sz w:val="24"/>
          <w:szCs w:val="24"/>
        </w:rPr>
        <w:t>Restricted Polic</w:t>
      </w:r>
      <w:r w:rsidR="00E90F4E" w:rsidRPr="00A14819">
        <w:rPr>
          <w:rFonts w:ascii="Times New Roman" w:hAnsi="Times New Roman" w:cs="Times New Roman"/>
          <w:sz w:val="24"/>
          <w:szCs w:val="24"/>
        </w:rPr>
        <w:t>ies</w:t>
      </w:r>
      <w:r w:rsidR="00CA1732">
        <w:rPr>
          <w:rFonts w:ascii="Times New Roman" w:hAnsi="Times New Roman" w:cs="Times New Roman"/>
          <w:sz w:val="24"/>
          <w:szCs w:val="24"/>
        </w:rPr>
        <w:t xml:space="preserve"> in any materially adverse manner</w:t>
      </w:r>
      <w:r w:rsidR="00E57338" w:rsidRPr="00A14819">
        <w:rPr>
          <w:rFonts w:ascii="Times New Roman" w:hAnsi="Times New Roman" w:cs="Times New Roman"/>
          <w:sz w:val="24"/>
          <w:szCs w:val="24"/>
        </w:rPr>
        <w:t xml:space="preserve"> </w:t>
      </w:r>
      <w:r w:rsidR="00E90F4E" w:rsidRPr="00A14819">
        <w:rPr>
          <w:rFonts w:ascii="Times New Roman" w:hAnsi="Times New Roman" w:cs="Times New Roman"/>
          <w:sz w:val="24"/>
          <w:szCs w:val="24"/>
        </w:rPr>
        <w:t>or</w:t>
      </w:r>
      <w:r w:rsidR="00E57338" w:rsidRPr="00A14819">
        <w:rPr>
          <w:rFonts w:ascii="Times New Roman" w:hAnsi="Times New Roman" w:cs="Times New Roman"/>
          <w:sz w:val="24"/>
          <w:szCs w:val="24"/>
        </w:rPr>
        <w:t xml:space="preserve"> the </w:t>
      </w:r>
      <w:r w:rsidR="00DC7F82" w:rsidRPr="00A14819">
        <w:rPr>
          <w:rFonts w:ascii="Times New Roman" w:hAnsi="Times New Roman" w:cs="Times New Roman"/>
          <w:sz w:val="24"/>
          <w:szCs w:val="24"/>
        </w:rPr>
        <w:t xml:space="preserve">form of the </w:t>
      </w:r>
      <w:r w:rsidRPr="00A14819">
        <w:rPr>
          <w:rFonts w:ascii="Times New Roman" w:hAnsi="Times New Roman" w:cs="Times New Roman"/>
          <w:sz w:val="24"/>
          <w:szCs w:val="24"/>
        </w:rPr>
        <w:t xml:space="preserve">Environmental and Social </w:t>
      </w:r>
      <w:r w:rsidR="000E6EC9" w:rsidRPr="00A14819">
        <w:rPr>
          <w:rFonts w:ascii="Times New Roman" w:hAnsi="Times New Roman" w:cs="Times New Roman"/>
          <w:sz w:val="24"/>
          <w:szCs w:val="24"/>
        </w:rPr>
        <w:t>Monitoring Report</w:t>
      </w:r>
      <w:r w:rsidR="00AF0934" w:rsidRPr="00A14819">
        <w:rPr>
          <w:rFonts w:ascii="Times New Roman" w:hAnsi="Times New Roman" w:cs="Times New Roman"/>
          <w:sz w:val="24"/>
          <w:szCs w:val="24"/>
        </w:rPr>
        <w:t xml:space="preserve"> without the consent of the [Agent]</w:t>
      </w:r>
      <w:r w:rsidRPr="00A14819">
        <w:rPr>
          <w:rFonts w:ascii="Times New Roman" w:hAnsi="Times New Roman" w:cs="Times New Roman"/>
          <w:sz w:val="24"/>
          <w:szCs w:val="24"/>
        </w:rPr>
        <w:t>.</w:t>
      </w:r>
      <w:bookmarkEnd w:id="13"/>
      <w:r w:rsidR="00943477" w:rsidRPr="00943477">
        <w:rPr>
          <w:rFonts w:ascii="Times New Roman" w:hAnsi="Times New Roman" w:cs="Times New Roman"/>
          <w:sz w:val="24"/>
          <w:szCs w:val="24"/>
        </w:rPr>
        <w:t xml:space="preserve"> The details of any amendments to the Restricted Policies shall </w:t>
      </w:r>
      <w:r w:rsidR="00943477" w:rsidRPr="00943477">
        <w:rPr>
          <w:rFonts w:ascii="Times New Roman" w:hAnsi="Times New Roman" w:cs="Times New Roman"/>
          <w:sz w:val="24"/>
          <w:szCs w:val="24"/>
        </w:rPr>
        <w:lastRenderedPageBreak/>
        <w:t>be shared with the Agent upon delivery of the completed Environmental and Social Monitoring Report, outlining the reasons for the amendments and the latest version of the relevant Restricted Policies.</w:t>
      </w:r>
    </w:p>
    <w:p w14:paraId="467E9C22" w14:textId="2C69A505" w:rsidR="00E377C8" w:rsidRPr="00A14819" w:rsidRDefault="00E377C8" w:rsidP="006965AE">
      <w:pPr>
        <w:snapToGrid w:val="0"/>
        <w:rPr>
          <w:rFonts w:ascii="Times New Roman" w:hAnsi="Times New Roman" w:cs="Times New Roman"/>
          <w:sz w:val="24"/>
          <w:szCs w:val="24"/>
        </w:rPr>
      </w:pPr>
      <w:r w:rsidRPr="00A14819">
        <w:rPr>
          <w:rFonts w:ascii="Times New Roman" w:hAnsi="Times New Roman" w:cs="Times New Roman"/>
          <w:sz w:val="24"/>
          <w:szCs w:val="24"/>
        </w:rPr>
        <w:br w:type="page"/>
      </w:r>
    </w:p>
    <w:p w14:paraId="7D50FBED" w14:textId="5237748E" w:rsidR="00962A19" w:rsidRPr="00A14819" w:rsidRDefault="00E377C8" w:rsidP="006965AE">
      <w:pPr>
        <w:snapToGrid w:val="0"/>
        <w:spacing w:before="120" w:after="120" w:line="240" w:lineRule="auto"/>
        <w:jc w:val="both"/>
        <w:rPr>
          <w:rFonts w:ascii="Times New Roman" w:hAnsi="Times New Roman" w:cs="Times New Roman"/>
          <w:b/>
          <w:bCs/>
          <w:sz w:val="24"/>
          <w:szCs w:val="24"/>
        </w:rPr>
      </w:pPr>
      <w:r w:rsidRPr="00A14819">
        <w:rPr>
          <w:rFonts w:ascii="Times New Roman" w:hAnsi="Times New Roman" w:cs="Times New Roman"/>
          <w:b/>
          <w:bCs/>
          <w:sz w:val="24"/>
          <w:szCs w:val="24"/>
        </w:rPr>
        <w:lastRenderedPageBreak/>
        <w:t>Definitions</w:t>
      </w:r>
    </w:p>
    <w:p w14:paraId="0D464678" w14:textId="1A080316" w:rsidR="00D33AF8" w:rsidRPr="00A14819" w:rsidRDefault="00D33AF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w:t>
      </w:r>
      <w:r w:rsidRPr="00A14819">
        <w:rPr>
          <w:rFonts w:ascii="Times New Roman" w:hAnsi="Times New Roman" w:cs="Times New Roman"/>
          <w:sz w:val="24"/>
          <w:szCs w:val="24"/>
        </w:rPr>
        <w:t>" means humans, animals, plants and all other living organisms including the ecological systems of which they form part and the following media:</w:t>
      </w:r>
    </w:p>
    <w:p w14:paraId="5C0A1BDF" w14:textId="79222517" w:rsidR="00D33AF8" w:rsidRPr="00A14819" w:rsidRDefault="00D33AF8" w:rsidP="006965AE">
      <w:pPr>
        <w:pStyle w:val="ListParagraph"/>
        <w:numPr>
          <w:ilvl w:val="0"/>
          <w:numId w:val="9"/>
        </w:numPr>
        <w:snapToGrid w:val="0"/>
        <w:spacing w:before="120" w:after="120" w:line="240" w:lineRule="auto"/>
        <w:ind w:left="567" w:hanging="567"/>
        <w:contextualSpacing w:val="0"/>
        <w:jc w:val="both"/>
        <w:rPr>
          <w:rFonts w:ascii="Times New Roman" w:hAnsi="Times New Roman" w:cs="Times New Roman"/>
          <w:sz w:val="24"/>
          <w:szCs w:val="24"/>
        </w:rPr>
      </w:pPr>
      <w:bookmarkStart w:id="14" w:name="_Ref87972926"/>
      <w:r w:rsidRPr="00A14819">
        <w:rPr>
          <w:rFonts w:ascii="Times New Roman" w:hAnsi="Times New Roman" w:cs="Times New Roman"/>
          <w:sz w:val="24"/>
          <w:szCs w:val="24"/>
        </w:rPr>
        <w:t>air (including, without limitation, air within natural or man-made structures, whether above or below ground);</w:t>
      </w:r>
      <w:bookmarkEnd w:id="14"/>
    </w:p>
    <w:p w14:paraId="0ADC2647" w14:textId="77777777" w:rsidR="00D33AF8" w:rsidRPr="00A14819" w:rsidRDefault="00D33AF8" w:rsidP="006965AE">
      <w:pPr>
        <w:pStyle w:val="ListParagraph"/>
        <w:numPr>
          <w:ilvl w:val="0"/>
          <w:numId w:val="9"/>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water (including, without limitation, territorial, coastal and inland waters, water under or within land and water in drains and sewers); and</w:t>
      </w:r>
    </w:p>
    <w:p w14:paraId="3AB5280B" w14:textId="77777777" w:rsidR="00D33AF8" w:rsidRPr="00A14819" w:rsidRDefault="00D33AF8" w:rsidP="006965AE">
      <w:pPr>
        <w:pStyle w:val="ListParagraph"/>
        <w:numPr>
          <w:ilvl w:val="0"/>
          <w:numId w:val="9"/>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land (including, without limitation, land under water).</w:t>
      </w:r>
    </w:p>
    <w:p w14:paraId="01A8CBEE" w14:textId="0CB02582" w:rsidR="00593945"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Action Plan</w:t>
      </w:r>
      <w:r w:rsidRPr="00A14819">
        <w:rPr>
          <w:rFonts w:ascii="Times New Roman" w:hAnsi="Times New Roman" w:cs="Times New Roman"/>
          <w:sz w:val="24"/>
          <w:szCs w:val="24"/>
        </w:rPr>
        <w:t>" means</w:t>
      </w:r>
      <w:r w:rsidR="00593945" w:rsidRPr="00A14819">
        <w:rPr>
          <w:rFonts w:ascii="Times New Roman" w:hAnsi="Times New Roman" w:cs="Times New Roman"/>
          <w:sz w:val="24"/>
          <w:szCs w:val="24"/>
        </w:rPr>
        <w:t>:</w:t>
      </w:r>
    </w:p>
    <w:p w14:paraId="7358795E" w14:textId="74711B86" w:rsidR="00E57338" w:rsidRPr="00A14819" w:rsidRDefault="00E57338" w:rsidP="00593945">
      <w:pPr>
        <w:pStyle w:val="ListParagraph"/>
        <w:numPr>
          <w:ilvl w:val="0"/>
          <w:numId w:val="36"/>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Restricted Policies;</w:t>
      </w:r>
    </w:p>
    <w:p w14:paraId="2F004D4F" w14:textId="6A9BBAC1" w:rsidR="00593945" w:rsidRPr="00A14819" w:rsidRDefault="00593945" w:rsidP="00593945">
      <w:pPr>
        <w:pStyle w:val="ListParagraph"/>
        <w:numPr>
          <w:ilvl w:val="0"/>
          <w:numId w:val="36"/>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i/>
          <w:iCs/>
          <w:sz w:val="24"/>
          <w:szCs w:val="24"/>
        </w:rPr>
        <w:t>insert any policies that are determined to be conditions precedent following due diligence, including any policies that have been implemented in order to satisfy planning approvals.</w:t>
      </w:r>
      <w:r w:rsidRPr="00A14819">
        <w:rPr>
          <w:rFonts w:ascii="Times New Roman" w:hAnsi="Times New Roman" w:cs="Times New Roman"/>
          <w:sz w:val="24"/>
          <w:szCs w:val="24"/>
        </w:rPr>
        <w:t>]; and</w:t>
      </w:r>
    </w:p>
    <w:p w14:paraId="5C9BA77E" w14:textId="626E9155" w:rsidR="00593945" w:rsidRPr="00A14819" w:rsidRDefault="00E57338" w:rsidP="00593945">
      <w:pPr>
        <w:pStyle w:val="ListParagraph"/>
        <w:numPr>
          <w:ilvl w:val="0"/>
          <w:numId w:val="36"/>
        </w:numPr>
        <w:snapToGrid w:val="0"/>
        <w:spacing w:before="120" w:after="120" w:line="240" w:lineRule="auto"/>
        <w:ind w:left="567" w:hanging="567"/>
        <w:contextualSpacing w:val="0"/>
        <w:jc w:val="both"/>
        <w:rPr>
          <w:rFonts w:ascii="Times New Roman" w:hAnsi="Times New Roman" w:cs="Times New Roman"/>
          <w:sz w:val="24"/>
          <w:szCs w:val="24"/>
        </w:rPr>
      </w:pPr>
      <w:r w:rsidRPr="00A14819">
        <w:rPr>
          <w:rFonts w:ascii="Times New Roman" w:hAnsi="Times New Roman" w:cs="Times New Roman"/>
          <w:sz w:val="24"/>
          <w:szCs w:val="24"/>
        </w:rPr>
        <w:t>any other</w:t>
      </w:r>
      <w:r w:rsidR="00593945" w:rsidRPr="00A14819">
        <w:rPr>
          <w:rFonts w:ascii="Times New Roman" w:hAnsi="Times New Roman" w:cs="Times New Roman"/>
          <w:sz w:val="24"/>
          <w:szCs w:val="24"/>
        </w:rPr>
        <w:t xml:space="preserve"> then applicable policies </w:t>
      </w:r>
      <w:r w:rsidR="001717A3" w:rsidRPr="00A14819">
        <w:rPr>
          <w:rFonts w:ascii="Times New Roman" w:hAnsi="Times New Roman" w:cs="Times New Roman"/>
          <w:sz w:val="24"/>
          <w:szCs w:val="24"/>
        </w:rPr>
        <w:t>provided</w:t>
      </w:r>
      <w:r w:rsidR="00593945" w:rsidRPr="00A14819">
        <w:rPr>
          <w:rFonts w:ascii="Times New Roman" w:hAnsi="Times New Roman" w:cs="Times New Roman"/>
          <w:sz w:val="24"/>
          <w:szCs w:val="24"/>
        </w:rPr>
        <w:t xml:space="preserve"> by the [Borrower] to the [Agent] </w:t>
      </w:r>
      <w:r w:rsidR="001717A3" w:rsidRPr="00A14819">
        <w:rPr>
          <w:rFonts w:ascii="Times New Roman" w:hAnsi="Times New Roman" w:cs="Times New Roman"/>
          <w:sz w:val="24"/>
          <w:szCs w:val="24"/>
        </w:rPr>
        <w:t>as supporting documentation referred to in</w:t>
      </w:r>
      <w:r w:rsidR="00593945" w:rsidRPr="00A14819">
        <w:rPr>
          <w:rFonts w:ascii="Times New Roman" w:hAnsi="Times New Roman" w:cs="Times New Roman"/>
          <w:sz w:val="24"/>
          <w:szCs w:val="24"/>
        </w:rPr>
        <w:t xml:space="preserve"> any Environmental and Social Monitoring Report</w:t>
      </w:r>
      <w:r w:rsidR="001717A3" w:rsidRPr="00A14819">
        <w:rPr>
          <w:rFonts w:ascii="Times New Roman" w:hAnsi="Times New Roman" w:cs="Times New Roman"/>
          <w:sz w:val="24"/>
          <w:szCs w:val="24"/>
        </w:rPr>
        <w:t xml:space="preserve"> delivered</w:t>
      </w:r>
      <w:r w:rsidR="0048415E" w:rsidRPr="00A14819">
        <w:rPr>
          <w:rFonts w:ascii="Times New Roman" w:hAnsi="Times New Roman" w:cs="Times New Roman"/>
          <w:sz w:val="24"/>
          <w:szCs w:val="24"/>
        </w:rPr>
        <w:t xml:space="preserve"> pursuant to paragraph </w:t>
      </w:r>
      <w:r w:rsidR="0048415E" w:rsidRPr="00A14819">
        <w:rPr>
          <w:rFonts w:ascii="Times New Roman" w:hAnsi="Times New Roman" w:cs="Times New Roman"/>
          <w:sz w:val="24"/>
          <w:szCs w:val="24"/>
        </w:rPr>
        <w:fldChar w:fldCharType="begin"/>
      </w:r>
      <w:r w:rsidR="0048415E" w:rsidRPr="00A14819">
        <w:rPr>
          <w:rFonts w:ascii="Times New Roman" w:hAnsi="Times New Roman" w:cs="Times New Roman"/>
          <w:sz w:val="24"/>
          <w:szCs w:val="24"/>
        </w:rPr>
        <w:instrText xml:space="preserve"> REF _Ref83976999 \r \h </w:instrText>
      </w:r>
      <w:r w:rsidR="00AF0934" w:rsidRPr="00A14819">
        <w:rPr>
          <w:rFonts w:ascii="Times New Roman" w:hAnsi="Times New Roman" w:cs="Times New Roman"/>
          <w:sz w:val="24"/>
          <w:szCs w:val="24"/>
        </w:rPr>
        <w:instrText xml:space="preserve"> \* MERGEFORMAT </w:instrText>
      </w:r>
      <w:r w:rsidR="0048415E" w:rsidRPr="00A14819">
        <w:rPr>
          <w:rFonts w:ascii="Times New Roman" w:hAnsi="Times New Roman" w:cs="Times New Roman"/>
          <w:sz w:val="24"/>
          <w:szCs w:val="24"/>
        </w:rPr>
      </w:r>
      <w:r w:rsidR="0048415E" w:rsidRPr="00A14819">
        <w:rPr>
          <w:rFonts w:ascii="Times New Roman" w:hAnsi="Times New Roman" w:cs="Times New Roman"/>
          <w:sz w:val="24"/>
          <w:szCs w:val="24"/>
        </w:rPr>
        <w:fldChar w:fldCharType="separate"/>
      </w:r>
      <w:r w:rsidR="00F37678" w:rsidRPr="00A14819">
        <w:rPr>
          <w:rFonts w:ascii="Times New Roman" w:hAnsi="Times New Roman" w:cs="Times New Roman"/>
          <w:sz w:val="24"/>
          <w:szCs w:val="24"/>
          <w:cs/>
        </w:rPr>
        <w:t>‎</w:t>
      </w:r>
      <w:r w:rsidR="00F37678" w:rsidRPr="00A14819">
        <w:rPr>
          <w:rFonts w:ascii="Times New Roman" w:hAnsi="Times New Roman" w:cs="Times New Roman"/>
          <w:sz w:val="24"/>
          <w:szCs w:val="24"/>
        </w:rPr>
        <w:t>(a)</w:t>
      </w:r>
      <w:r w:rsidR="0048415E" w:rsidRPr="00A14819">
        <w:rPr>
          <w:rFonts w:ascii="Times New Roman" w:hAnsi="Times New Roman" w:cs="Times New Roman"/>
          <w:sz w:val="24"/>
          <w:szCs w:val="24"/>
        </w:rPr>
        <w:fldChar w:fldCharType="end"/>
      </w:r>
      <w:r w:rsidR="0048415E" w:rsidRPr="00A14819">
        <w:rPr>
          <w:rFonts w:ascii="Times New Roman" w:hAnsi="Times New Roman" w:cs="Times New Roman"/>
          <w:sz w:val="24"/>
          <w:szCs w:val="24"/>
        </w:rPr>
        <w:t xml:space="preserve"> of Clause [</w:t>
      </w:r>
      <w:r w:rsidR="0048415E" w:rsidRPr="00A14819">
        <w:rPr>
          <w:rFonts w:ascii="Times New Roman" w:hAnsi="Times New Roman" w:cs="Times New Roman"/>
          <w:sz w:val="24"/>
          <w:szCs w:val="24"/>
        </w:rPr>
        <w:tab/>
        <w:t>]</w:t>
      </w:r>
      <w:r w:rsidR="00593945" w:rsidRPr="00A14819">
        <w:rPr>
          <w:rFonts w:ascii="Times New Roman" w:hAnsi="Times New Roman" w:cs="Times New Roman"/>
          <w:sz w:val="24"/>
          <w:szCs w:val="24"/>
        </w:rPr>
        <w:t xml:space="preserve">. </w:t>
      </w:r>
    </w:p>
    <w:p w14:paraId="7FF2ADBC" w14:textId="2209CEC5"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Approval</w:t>
      </w:r>
      <w:r w:rsidRPr="00A14819">
        <w:rPr>
          <w:rFonts w:ascii="Times New Roman" w:hAnsi="Times New Roman" w:cs="Times New Roman"/>
          <w:sz w:val="24"/>
          <w:szCs w:val="24"/>
        </w:rPr>
        <w:t xml:space="preserve">" means any </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Authorisations</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 xml:space="preserve"> required under any relevant Environmental and Social Law for the construction, development and operation of the </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Project</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 xml:space="preserve"> by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w:t>
      </w:r>
    </w:p>
    <w:p w14:paraId="1C001370" w14:textId="66D7A857"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Claim</w:t>
      </w:r>
      <w:r w:rsidRPr="00A14819">
        <w:rPr>
          <w:rFonts w:ascii="Times New Roman" w:hAnsi="Times New Roman" w:cs="Times New Roman"/>
          <w:sz w:val="24"/>
          <w:szCs w:val="24"/>
        </w:rPr>
        <w:t xml:space="preserve">" means any claim, proceeding, formal notice or investigation by a person in respect of an Environmental and Social Law or an environmental and social agreement between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and another person.</w:t>
      </w:r>
    </w:p>
    <w:p w14:paraId="42B206B5" w14:textId="6D2F0131"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Law</w:t>
      </w:r>
      <w:r w:rsidRPr="00A14819">
        <w:rPr>
          <w:rFonts w:ascii="Times New Roman" w:hAnsi="Times New Roman" w:cs="Times New Roman"/>
          <w:sz w:val="24"/>
          <w:szCs w:val="24"/>
        </w:rPr>
        <w:t xml:space="preserve">" means any </w:t>
      </w:r>
      <w:r w:rsidR="0098410B" w:rsidRPr="00A14819">
        <w:rPr>
          <w:rFonts w:ascii="Times New Roman" w:hAnsi="Times New Roman" w:cs="Times New Roman"/>
          <w:sz w:val="24"/>
          <w:szCs w:val="24"/>
        </w:rPr>
        <w:t xml:space="preserve">applicable </w:t>
      </w:r>
      <w:r w:rsidRPr="00A14819">
        <w:rPr>
          <w:rFonts w:ascii="Times New Roman" w:hAnsi="Times New Roman" w:cs="Times New Roman"/>
          <w:sz w:val="24"/>
          <w:szCs w:val="24"/>
        </w:rPr>
        <w:t>law or regulation which relates to:</w:t>
      </w:r>
    </w:p>
    <w:p w14:paraId="42B81709" w14:textId="25CB9F65" w:rsidR="00E377C8" w:rsidRPr="00A14819" w:rsidRDefault="00E377C8" w:rsidP="006965AE">
      <w:pPr>
        <w:snapToGrid w:val="0"/>
        <w:spacing w:before="120" w:after="120" w:line="240" w:lineRule="auto"/>
        <w:ind w:left="709" w:hanging="709"/>
        <w:jc w:val="both"/>
        <w:rPr>
          <w:rFonts w:ascii="Times New Roman" w:hAnsi="Times New Roman" w:cs="Times New Roman"/>
          <w:sz w:val="24"/>
          <w:szCs w:val="24"/>
        </w:rPr>
      </w:pPr>
      <w:r w:rsidRPr="00A14819">
        <w:rPr>
          <w:rFonts w:ascii="Times New Roman" w:hAnsi="Times New Roman" w:cs="Times New Roman"/>
          <w:sz w:val="24"/>
          <w:szCs w:val="24"/>
        </w:rPr>
        <w:t>(a)</w:t>
      </w:r>
      <w:r w:rsidRPr="00A14819">
        <w:rPr>
          <w:rFonts w:ascii="Times New Roman" w:hAnsi="Times New Roman" w:cs="Times New Roman"/>
          <w:sz w:val="24"/>
          <w:szCs w:val="24"/>
        </w:rPr>
        <w:tab/>
        <w:t xml:space="preserve">pollution or protection of </w:t>
      </w:r>
      <w:r w:rsidR="00D33AF8" w:rsidRPr="00A14819">
        <w:rPr>
          <w:rFonts w:ascii="Times New Roman" w:hAnsi="Times New Roman" w:cs="Times New Roman"/>
          <w:sz w:val="24"/>
          <w:szCs w:val="24"/>
        </w:rPr>
        <w:t>the Environment</w:t>
      </w:r>
      <w:r w:rsidRPr="00A14819">
        <w:rPr>
          <w:rFonts w:ascii="Times New Roman" w:hAnsi="Times New Roman" w:cs="Times New Roman"/>
          <w:sz w:val="24"/>
          <w:szCs w:val="24"/>
        </w:rPr>
        <w:t>, including related laws or regulations relating to participation in decision-making;</w:t>
      </w:r>
    </w:p>
    <w:p w14:paraId="2B588079" w14:textId="77777777"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(b)</w:t>
      </w:r>
      <w:r w:rsidRPr="00A14819">
        <w:rPr>
          <w:rFonts w:ascii="Times New Roman" w:hAnsi="Times New Roman" w:cs="Times New Roman"/>
          <w:sz w:val="24"/>
          <w:szCs w:val="24"/>
        </w:rPr>
        <w:tab/>
        <w:t>labour and employment conditions;</w:t>
      </w:r>
    </w:p>
    <w:p w14:paraId="7D457161" w14:textId="2EE320A8"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(c)</w:t>
      </w:r>
      <w:r w:rsidRPr="00A14819">
        <w:rPr>
          <w:rFonts w:ascii="Times New Roman" w:hAnsi="Times New Roman" w:cs="Times New Roman"/>
          <w:sz w:val="24"/>
          <w:szCs w:val="24"/>
        </w:rPr>
        <w:tab/>
        <w:t>occupational health and safety;</w:t>
      </w:r>
      <w:r w:rsidR="0098410B" w:rsidRPr="00A14819">
        <w:rPr>
          <w:rFonts w:ascii="Times New Roman" w:hAnsi="Times New Roman" w:cs="Times New Roman"/>
          <w:sz w:val="24"/>
          <w:szCs w:val="24"/>
        </w:rPr>
        <w:t xml:space="preserve"> and</w:t>
      </w:r>
    </w:p>
    <w:p w14:paraId="00DCB69F" w14:textId="39695A94" w:rsidR="0098410B"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(d)</w:t>
      </w:r>
      <w:r w:rsidRPr="00A14819">
        <w:rPr>
          <w:rFonts w:ascii="Times New Roman" w:hAnsi="Times New Roman" w:cs="Times New Roman"/>
          <w:sz w:val="24"/>
          <w:szCs w:val="24"/>
        </w:rPr>
        <w:tab/>
        <w:t>public health, safety and security</w:t>
      </w:r>
      <w:r w:rsidR="00D33AF8" w:rsidRPr="00A14819">
        <w:rPr>
          <w:rFonts w:ascii="Times New Roman" w:hAnsi="Times New Roman" w:cs="Times New Roman"/>
          <w:sz w:val="24"/>
          <w:szCs w:val="24"/>
        </w:rPr>
        <w:t>; and</w:t>
      </w:r>
    </w:p>
    <w:p w14:paraId="19C4C36C" w14:textId="3BC60F4C" w:rsidR="00D33AF8" w:rsidRPr="00A14819" w:rsidRDefault="00D33AF8" w:rsidP="006965AE">
      <w:pPr>
        <w:snapToGrid w:val="0"/>
        <w:spacing w:before="120" w:after="120" w:line="240" w:lineRule="auto"/>
        <w:ind w:left="709" w:hanging="709"/>
        <w:jc w:val="both"/>
        <w:rPr>
          <w:rFonts w:ascii="Times New Roman" w:hAnsi="Times New Roman" w:cs="Times New Roman"/>
          <w:sz w:val="24"/>
          <w:szCs w:val="24"/>
        </w:rPr>
      </w:pPr>
      <w:r w:rsidRPr="00A14819">
        <w:rPr>
          <w:rFonts w:ascii="Times New Roman" w:hAnsi="Times New Roman" w:cs="Times New Roman"/>
          <w:sz w:val="24"/>
          <w:szCs w:val="24"/>
        </w:rPr>
        <w:t>(e)</w:t>
      </w:r>
      <w:r w:rsidRPr="00A14819">
        <w:rPr>
          <w:rFonts w:ascii="Times New Roman" w:hAnsi="Times New Roman" w:cs="Times New Roman"/>
          <w:sz w:val="24"/>
          <w:szCs w:val="24"/>
        </w:rPr>
        <w:tab/>
        <w:t>the generation, handling, storage, use, release or spillage of any substance which, alone or in combination with any other, is capable of causing harm to the Environment, including, without limitation, any waste.</w:t>
      </w:r>
    </w:p>
    <w:p w14:paraId="7050A6D5" w14:textId="77777777"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Matter</w:t>
      </w:r>
      <w:r w:rsidRPr="00A14819">
        <w:rPr>
          <w:rFonts w:ascii="Times New Roman" w:hAnsi="Times New Roman" w:cs="Times New Roman"/>
          <w:sz w:val="24"/>
          <w:szCs w:val="24"/>
        </w:rPr>
        <w:t>" means any matter that is the subject of any Environmental and Social Laws, any Environmental and Social Standards, the Environmental and Social Claims or the Environmental and Social Action Plan.</w:t>
      </w:r>
    </w:p>
    <w:p w14:paraId="42668171" w14:textId="3B004C6A" w:rsidR="00E5073B"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Monitoring Report</w:t>
      </w:r>
      <w:r w:rsidRPr="00A14819">
        <w:rPr>
          <w:rFonts w:ascii="Times New Roman" w:hAnsi="Times New Roman" w:cs="Times New Roman"/>
          <w:sz w:val="24"/>
          <w:szCs w:val="24"/>
        </w:rPr>
        <w:t xml:space="preserve">" means an environmental and social monitoring report satisfactory to each </w:t>
      </w:r>
      <w:r w:rsidR="00AD231D" w:rsidRPr="00A14819">
        <w:rPr>
          <w:rFonts w:ascii="Times New Roman" w:hAnsi="Times New Roman" w:cs="Times New Roman"/>
          <w:sz w:val="24"/>
          <w:szCs w:val="24"/>
        </w:rPr>
        <w:t xml:space="preserve">[Lender] </w:t>
      </w:r>
      <w:r w:rsidRPr="00A14819">
        <w:rPr>
          <w:rFonts w:ascii="Times New Roman" w:hAnsi="Times New Roman" w:cs="Times New Roman"/>
          <w:sz w:val="24"/>
          <w:szCs w:val="24"/>
        </w:rPr>
        <w:t xml:space="preserve">and prepared on behalf of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and at the cost of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in the form set out in ‎Schedule </w:t>
      </w:r>
      <w:r w:rsidR="00E5073B" w:rsidRPr="00A14819">
        <w:rPr>
          <w:rFonts w:ascii="Times New Roman" w:hAnsi="Times New Roman" w:cs="Times New Roman"/>
          <w:sz w:val="24"/>
          <w:szCs w:val="24"/>
        </w:rPr>
        <w:t>[</w:t>
      </w:r>
      <w:r w:rsidR="00E5073B" w:rsidRPr="00A14819">
        <w:rPr>
          <w:rFonts w:ascii="Times New Roman" w:hAnsi="Times New Roman" w:cs="Times New Roman"/>
          <w:sz w:val="24"/>
          <w:szCs w:val="24"/>
        </w:rPr>
        <w:tab/>
        <w:t>]</w:t>
      </w:r>
      <w:r w:rsidRPr="00A14819">
        <w:rPr>
          <w:rFonts w:ascii="Times New Roman" w:hAnsi="Times New Roman" w:cs="Times New Roman"/>
          <w:sz w:val="24"/>
          <w:szCs w:val="24"/>
        </w:rPr>
        <w:t xml:space="preserve"> (</w:t>
      </w:r>
      <w:r w:rsidRPr="00A14819">
        <w:rPr>
          <w:rFonts w:ascii="Times New Roman" w:hAnsi="Times New Roman" w:cs="Times New Roman"/>
          <w:i/>
          <w:iCs/>
          <w:sz w:val="24"/>
          <w:szCs w:val="24"/>
        </w:rPr>
        <w:t>Form of Environmental and Social Monitoring Report</w:t>
      </w:r>
      <w:r w:rsidRPr="00A14819">
        <w:rPr>
          <w:rFonts w:ascii="Times New Roman" w:hAnsi="Times New Roman" w:cs="Times New Roman"/>
          <w:sz w:val="24"/>
          <w:szCs w:val="24"/>
        </w:rPr>
        <w:t>)</w:t>
      </w:r>
      <w:r w:rsidR="00847A03" w:rsidRPr="00A14819">
        <w:rPr>
          <w:rFonts w:ascii="Times New Roman" w:hAnsi="Times New Roman" w:cs="Times New Roman"/>
          <w:sz w:val="24"/>
          <w:szCs w:val="24"/>
        </w:rPr>
        <w:t>.</w:t>
      </w:r>
      <w:r w:rsidRPr="00A14819">
        <w:rPr>
          <w:rFonts w:ascii="Times New Roman" w:hAnsi="Times New Roman" w:cs="Times New Roman"/>
          <w:sz w:val="24"/>
          <w:szCs w:val="24"/>
        </w:rPr>
        <w:t xml:space="preserve"> </w:t>
      </w:r>
    </w:p>
    <w:p w14:paraId="0381875D" w14:textId="15660B7B"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Environmental and Social Remedial Plan</w:t>
      </w:r>
      <w:r w:rsidRPr="00A14819">
        <w:rPr>
          <w:rFonts w:ascii="Times New Roman" w:hAnsi="Times New Roman" w:cs="Times New Roman"/>
          <w:sz w:val="24"/>
          <w:szCs w:val="24"/>
        </w:rPr>
        <w:t xml:space="preserve">" means, where required to remedy a breach of any of the Environmental and Social Standards, a remedial plan prepared by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acceptable to the </w:t>
      </w:r>
      <w:r w:rsidR="00593945" w:rsidRPr="00A14819">
        <w:rPr>
          <w:rFonts w:ascii="Times New Roman" w:hAnsi="Times New Roman" w:cs="Times New Roman"/>
          <w:sz w:val="24"/>
          <w:szCs w:val="24"/>
        </w:rPr>
        <w:t>[Lenders’ Technical Advisor]</w:t>
      </w:r>
      <w:r w:rsidR="0070789C" w:rsidRPr="00A14819">
        <w:rPr>
          <w:rFonts w:ascii="Times New Roman" w:hAnsi="Times New Roman" w:cs="Times New Roman"/>
          <w:sz w:val="24"/>
          <w:szCs w:val="24"/>
        </w:rPr>
        <w:t xml:space="preserve"> </w:t>
      </w:r>
      <w:r w:rsidRPr="00A14819">
        <w:rPr>
          <w:rFonts w:ascii="Times New Roman" w:hAnsi="Times New Roman" w:cs="Times New Roman"/>
          <w:sz w:val="24"/>
          <w:szCs w:val="24"/>
        </w:rPr>
        <w:t xml:space="preserve">and (where relevant) agreed with the relevant </w:t>
      </w:r>
      <w:r w:rsidR="001417BC" w:rsidRPr="00A14819">
        <w:rPr>
          <w:rFonts w:ascii="Times New Roman" w:hAnsi="Times New Roman" w:cs="Times New Roman"/>
          <w:sz w:val="24"/>
          <w:szCs w:val="24"/>
        </w:rPr>
        <w:t>[</w:t>
      </w:r>
      <w:r w:rsidRPr="00A14819">
        <w:rPr>
          <w:rFonts w:ascii="Times New Roman" w:hAnsi="Times New Roman" w:cs="Times New Roman"/>
          <w:sz w:val="24"/>
          <w:szCs w:val="24"/>
        </w:rPr>
        <w:t>Material Project Party</w:t>
      </w:r>
      <w:r w:rsidR="001417BC" w:rsidRPr="00A14819">
        <w:rPr>
          <w:rFonts w:ascii="Times New Roman" w:hAnsi="Times New Roman" w:cs="Times New Roman"/>
          <w:sz w:val="24"/>
          <w:szCs w:val="24"/>
        </w:rPr>
        <w:t>]</w:t>
      </w:r>
      <w:r w:rsidRPr="00A14819">
        <w:rPr>
          <w:rFonts w:ascii="Times New Roman" w:hAnsi="Times New Roman" w:cs="Times New Roman"/>
          <w:sz w:val="24"/>
          <w:szCs w:val="24"/>
        </w:rPr>
        <w:t xml:space="preserve"> to remedy such breach.</w:t>
      </w:r>
    </w:p>
    <w:p w14:paraId="1B32BBAD" w14:textId="77777777"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lastRenderedPageBreak/>
        <w:t>"</w:t>
      </w:r>
      <w:r w:rsidRPr="00A14819">
        <w:rPr>
          <w:rFonts w:ascii="Times New Roman" w:hAnsi="Times New Roman" w:cs="Times New Roman"/>
          <w:b/>
          <w:bCs/>
          <w:sz w:val="24"/>
          <w:szCs w:val="24"/>
        </w:rPr>
        <w:t>Environmental and Social Standard</w:t>
      </w:r>
      <w:r w:rsidRPr="00A14819">
        <w:rPr>
          <w:rFonts w:ascii="Times New Roman" w:hAnsi="Times New Roman" w:cs="Times New Roman"/>
          <w:sz w:val="24"/>
          <w:szCs w:val="24"/>
        </w:rPr>
        <w:t>" means:</w:t>
      </w:r>
    </w:p>
    <w:p w14:paraId="04569ADE" w14:textId="77777777" w:rsidR="00E377C8"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(a)</w:t>
      </w:r>
      <w:r w:rsidRPr="00A14819">
        <w:rPr>
          <w:rFonts w:ascii="Times New Roman" w:hAnsi="Times New Roman" w:cs="Times New Roman"/>
          <w:sz w:val="24"/>
          <w:szCs w:val="24"/>
        </w:rPr>
        <w:tab/>
        <w:t>any Environmental and Social Approval;</w:t>
      </w:r>
    </w:p>
    <w:p w14:paraId="31ECAFB6" w14:textId="4A62932E" w:rsidR="0098150E" w:rsidRPr="00A14819" w:rsidRDefault="00E377C8" w:rsidP="006965AE">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(b)</w:t>
      </w:r>
      <w:r w:rsidRPr="00A14819">
        <w:rPr>
          <w:rFonts w:ascii="Times New Roman" w:hAnsi="Times New Roman" w:cs="Times New Roman"/>
          <w:sz w:val="24"/>
          <w:szCs w:val="24"/>
        </w:rPr>
        <w:tab/>
        <w:t xml:space="preserve">any Environmental and Social Law; </w:t>
      </w:r>
      <w:r w:rsidR="0098150E" w:rsidRPr="00A14819">
        <w:rPr>
          <w:rFonts w:ascii="Times New Roman" w:hAnsi="Times New Roman" w:cs="Times New Roman"/>
          <w:sz w:val="24"/>
          <w:szCs w:val="24"/>
        </w:rPr>
        <w:t>and</w:t>
      </w:r>
    </w:p>
    <w:p w14:paraId="42B52C12" w14:textId="10C54508" w:rsidR="0098150E" w:rsidRPr="00A14819" w:rsidRDefault="0098150E" w:rsidP="007C4812">
      <w:pPr>
        <w:snapToGrid w:val="0"/>
        <w:spacing w:before="120" w:after="120" w:line="240" w:lineRule="auto"/>
        <w:ind w:left="567" w:hanging="567"/>
        <w:jc w:val="both"/>
        <w:rPr>
          <w:rFonts w:ascii="Times New Roman" w:hAnsi="Times New Roman" w:cs="Times New Roman"/>
          <w:sz w:val="24"/>
          <w:szCs w:val="24"/>
        </w:rPr>
      </w:pPr>
      <w:r w:rsidRPr="00A14819">
        <w:rPr>
          <w:rFonts w:ascii="Times New Roman" w:hAnsi="Times New Roman" w:cs="Times New Roman"/>
          <w:sz w:val="24"/>
          <w:szCs w:val="24"/>
        </w:rPr>
        <w:t>(c)</w:t>
      </w:r>
      <w:r w:rsidRPr="00A14819">
        <w:rPr>
          <w:rFonts w:ascii="Times New Roman" w:hAnsi="Times New Roman" w:cs="Times New Roman"/>
          <w:sz w:val="24"/>
          <w:szCs w:val="24"/>
        </w:rPr>
        <w:tab/>
      </w:r>
      <w:r w:rsidR="00854686" w:rsidRPr="00A14819">
        <w:rPr>
          <w:rFonts w:ascii="Times New Roman" w:hAnsi="Times New Roman" w:cs="Times New Roman"/>
          <w:sz w:val="24"/>
          <w:szCs w:val="24"/>
        </w:rPr>
        <w:t>any</w:t>
      </w:r>
      <w:r w:rsidRPr="00A14819">
        <w:rPr>
          <w:rFonts w:ascii="Times New Roman" w:hAnsi="Times New Roman" w:cs="Times New Roman"/>
          <w:sz w:val="24"/>
          <w:szCs w:val="24"/>
        </w:rPr>
        <w:t xml:space="preserve"> other standard or guideline as the [Agent] and the [Borrower] may from time to time agree, </w:t>
      </w:r>
    </w:p>
    <w:p w14:paraId="4845F3CB" w14:textId="61B06ED0" w:rsidR="0035267E" w:rsidRPr="00A14819" w:rsidRDefault="00E377C8" w:rsidP="006965AE">
      <w:pPr>
        <w:snapToGrid w:val="0"/>
        <w:spacing w:before="120" w:after="120" w:line="240" w:lineRule="auto"/>
        <w:jc w:val="both"/>
        <w:rPr>
          <w:rFonts w:ascii="Times New Roman" w:hAnsi="Times New Roman" w:cs="Times New Roman"/>
          <w:b/>
          <w:bCs/>
          <w:sz w:val="24"/>
          <w:szCs w:val="24"/>
        </w:rPr>
      </w:pPr>
      <w:r w:rsidRPr="00A14819">
        <w:rPr>
          <w:rFonts w:ascii="Times New Roman" w:hAnsi="Times New Roman" w:cs="Times New Roman"/>
          <w:sz w:val="24"/>
          <w:szCs w:val="24"/>
        </w:rPr>
        <w:t xml:space="preserve">in each case as relevant to the </w:t>
      </w:r>
      <w:r w:rsidR="00FC2CF2" w:rsidRPr="00A14819">
        <w:rPr>
          <w:rFonts w:ascii="Times New Roman" w:hAnsi="Times New Roman" w:cs="Times New Roman"/>
          <w:sz w:val="24"/>
          <w:szCs w:val="24"/>
        </w:rPr>
        <w:t>[Borrower]</w:t>
      </w:r>
      <w:r w:rsidRPr="00A14819">
        <w:rPr>
          <w:rFonts w:ascii="Times New Roman" w:hAnsi="Times New Roman" w:cs="Times New Roman"/>
          <w:sz w:val="24"/>
          <w:szCs w:val="24"/>
        </w:rPr>
        <w:t xml:space="preserve"> or the </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Project</w:t>
      </w:r>
      <w:r w:rsidR="00D33AF8" w:rsidRPr="00A14819">
        <w:rPr>
          <w:rFonts w:ascii="Times New Roman" w:hAnsi="Times New Roman" w:cs="Times New Roman"/>
          <w:sz w:val="24"/>
          <w:szCs w:val="24"/>
        </w:rPr>
        <w:t>]</w:t>
      </w:r>
      <w:r w:rsidRPr="00A14819">
        <w:rPr>
          <w:rFonts w:ascii="Times New Roman" w:hAnsi="Times New Roman" w:cs="Times New Roman"/>
          <w:sz w:val="24"/>
          <w:szCs w:val="24"/>
        </w:rPr>
        <w:t>.</w:t>
      </w:r>
      <w:r w:rsidR="004F3485" w:rsidRPr="00A14819">
        <w:rPr>
          <w:rFonts w:ascii="Times New Roman" w:hAnsi="Times New Roman" w:cs="Times New Roman"/>
          <w:sz w:val="24"/>
          <w:szCs w:val="24"/>
        </w:rPr>
        <w:t xml:space="preserve"> </w:t>
      </w:r>
    </w:p>
    <w:p w14:paraId="7793C7B1" w14:textId="77777777" w:rsidR="00E90F4E" w:rsidRPr="00A14819" w:rsidRDefault="00E57338" w:rsidP="00E57338">
      <w:pPr>
        <w:snapToGrid w:val="0"/>
        <w:spacing w:before="120" w:after="120" w:line="240" w:lineRule="auto"/>
        <w:jc w:val="both"/>
        <w:rPr>
          <w:rFonts w:ascii="Times New Roman" w:hAnsi="Times New Roman" w:cs="Times New Roman"/>
          <w:sz w:val="24"/>
          <w:szCs w:val="24"/>
        </w:rPr>
      </w:pPr>
      <w:r w:rsidRPr="00A14819">
        <w:rPr>
          <w:rFonts w:ascii="Times New Roman" w:hAnsi="Times New Roman" w:cs="Times New Roman"/>
          <w:sz w:val="24"/>
          <w:szCs w:val="24"/>
        </w:rPr>
        <w:t>"</w:t>
      </w:r>
      <w:r w:rsidRPr="00A14819">
        <w:rPr>
          <w:rFonts w:ascii="Times New Roman" w:hAnsi="Times New Roman" w:cs="Times New Roman"/>
          <w:b/>
          <w:bCs/>
          <w:sz w:val="24"/>
          <w:szCs w:val="24"/>
        </w:rPr>
        <w:t>Restricted Policies</w:t>
      </w:r>
      <w:r w:rsidRPr="00A14819">
        <w:rPr>
          <w:rFonts w:ascii="Times New Roman" w:hAnsi="Times New Roman" w:cs="Times New Roman"/>
          <w:sz w:val="24"/>
          <w:szCs w:val="24"/>
        </w:rPr>
        <w:t>" means</w:t>
      </w:r>
      <w:r w:rsidR="00E90F4E" w:rsidRPr="00A14819">
        <w:rPr>
          <w:rFonts w:ascii="Times New Roman" w:hAnsi="Times New Roman" w:cs="Times New Roman"/>
          <w:sz w:val="24"/>
          <w:szCs w:val="24"/>
        </w:rPr>
        <w:t>:</w:t>
      </w:r>
    </w:p>
    <w:p w14:paraId="07863876" w14:textId="4D90D7A2" w:rsidR="00E90F4E" w:rsidRPr="00A14819" w:rsidRDefault="00E90F4E" w:rsidP="00E90F4E">
      <w:pPr>
        <w:snapToGrid w:val="0"/>
        <w:spacing w:before="120" w:after="120" w:line="240" w:lineRule="auto"/>
        <w:ind w:left="567" w:hanging="567"/>
        <w:jc w:val="both"/>
        <w:rPr>
          <w:rFonts w:ascii="Times New Roman" w:hAnsi="Times New Roman" w:cs="Times New Roman"/>
          <w:sz w:val="24"/>
          <w:szCs w:val="24"/>
        </w:rPr>
      </w:pPr>
      <w:r w:rsidRPr="00A14819">
        <w:rPr>
          <w:rFonts w:ascii="Times New Roman" w:hAnsi="Times New Roman" w:cs="Times New Roman"/>
          <w:sz w:val="24"/>
          <w:szCs w:val="24"/>
        </w:rPr>
        <w:t>(a)</w:t>
      </w:r>
      <w:r w:rsidRPr="00A14819">
        <w:rPr>
          <w:rFonts w:ascii="Times New Roman" w:hAnsi="Times New Roman" w:cs="Times New Roman"/>
          <w:sz w:val="24"/>
          <w:szCs w:val="24"/>
        </w:rPr>
        <w:tab/>
        <w:t>[</w:t>
      </w:r>
      <w:r w:rsidRPr="00A14819">
        <w:rPr>
          <w:rFonts w:ascii="Times New Roman" w:hAnsi="Times New Roman" w:cs="Times New Roman"/>
          <w:i/>
          <w:iCs/>
          <w:sz w:val="24"/>
          <w:szCs w:val="24"/>
        </w:rPr>
        <w:t>insert specific policies (whether or not as a result of a fund objective) that the lenders have identified as requiring their consent for any amendments</w:t>
      </w:r>
      <w:r w:rsidRPr="00A14819">
        <w:rPr>
          <w:rFonts w:ascii="Times New Roman" w:hAnsi="Times New Roman" w:cs="Times New Roman"/>
          <w:sz w:val="24"/>
          <w:szCs w:val="24"/>
        </w:rPr>
        <w:t>]; and</w:t>
      </w:r>
    </w:p>
    <w:p w14:paraId="3494F086" w14:textId="0C9E1308" w:rsidR="00E90F4E" w:rsidRPr="00A14819" w:rsidRDefault="00E90F4E" w:rsidP="00E90F4E">
      <w:pPr>
        <w:snapToGrid w:val="0"/>
        <w:spacing w:before="120" w:after="120" w:line="240" w:lineRule="auto"/>
        <w:ind w:left="567" w:hanging="567"/>
        <w:jc w:val="both"/>
        <w:rPr>
          <w:rFonts w:ascii="Times New Roman" w:hAnsi="Times New Roman" w:cs="Times New Roman"/>
          <w:sz w:val="24"/>
          <w:szCs w:val="24"/>
        </w:rPr>
      </w:pPr>
      <w:r w:rsidRPr="00A14819">
        <w:rPr>
          <w:rFonts w:ascii="Times New Roman" w:hAnsi="Times New Roman" w:cs="Times New Roman"/>
          <w:sz w:val="24"/>
          <w:szCs w:val="24"/>
        </w:rPr>
        <w:t>(b)</w:t>
      </w:r>
      <w:r w:rsidRPr="00A14819">
        <w:rPr>
          <w:rFonts w:ascii="Times New Roman" w:hAnsi="Times New Roman" w:cs="Times New Roman"/>
          <w:sz w:val="24"/>
          <w:szCs w:val="24"/>
        </w:rPr>
        <w:tab/>
        <w:t>[</w:t>
      </w:r>
      <w:r w:rsidRPr="00A14819">
        <w:rPr>
          <w:rFonts w:ascii="Times New Roman" w:hAnsi="Times New Roman" w:cs="Times New Roman"/>
          <w:i/>
          <w:iCs/>
          <w:sz w:val="24"/>
          <w:szCs w:val="24"/>
        </w:rPr>
        <w:t>insert relevant carbon reduction policies</w:t>
      </w:r>
      <w:r w:rsidRPr="00A14819">
        <w:rPr>
          <w:rFonts w:ascii="Times New Roman" w:hAnsi="Times New Roman" w:cs="Times New Roman"/>
          <w:sz w:val="24"/>
          <w:szCs w:val="24"/>
        </w:rPr>
        <w:t>] and any other carbon reduction policies applying to the [Borrower] or the [Project] from time to time.</w:t>
      </w:r>
      <w:r w:rsidR="00E57338" w:rsidRPr="00A14819">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9021"/>
      </w:tblGrid>
      <w:tr w:rsidR="00E90F4E" w:rsidRPr="00A14819" w14:paraId="459E8C33" w14:textId="77777777" w:rsidTr="00E90F4E">
        <w:tc>
          <w:tcPr>
            <w:tcW w:w="9021" w:type="dxa"/>
            <w:shd w:val="clear" w:color="auto" w:fill="92D050"/>
          </w:tcPr>
          <w:p w14:paraId="2BFDE09C" w14:textId="29A00E45" w:rsidR="009A296E" w:rsidRPr="00A14819" w:rsidRDefault="003E52DA" w:rsidP="00E90F4E">
            <w:pPr>
              <w:snapToGrid w:val="0"/>
              <w:spacing w:before="120" w:after="120"/>
              <w:rPr>
                <w:rFonts w:cs="Times New Roman"/>
                <w:sz w:val="24"/>
                <w:szCs w:val="24"/>
              </w:rPr>
            </w:pPr>
            <w:r w:rsidRPr="003E52DA">
              <w:rPr>
                <w:rFonts w:cs="Times New Roman"/>
                <w:sz w:val="24"/>
                <w:szCs w:val="24"/>
              </w:rPr>
              <w:t>This definition identifies the relevant policies that require consent by the lenders for any amendment or replacement.  These policies will include those that enable debt to be placed into Article 8 or Article 9 funds and, given their importance, all carbon reduction policies applying to the [Borrower] or the [Project].</w:t>
            </w:r>
          </w:p>
        </w:tc>
      </w:tr>
    </w:tbl>
    <w:p w14:paraId="233A8B58" w14:textId="6E30021B" w:rsidR="00EB10E3" w:rsidRPr="00A14819" w:rsidRDefault="00EB10E3" w:rsidP="006965AE">
      <w:pPr>
        <w:pStyle w:val="Default"/>
        <w:snapToGrid w:val="0"/>
        <w:rPr>
          <w:rFonts w:ascii="Times New Roman" w:hAnsi="Times New Roman" w:cs="Times New Roman"/>
        </w:rPr>
        <w:sectPr w:rsidR="00EB10E3" w:rsidRPr="00A148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50F1B94" w14:textId="00022E31" w:rsidR="00F903F6" w:rsidRPr="00A14819" w:rsidRDefault="00305713" w:rsidP="00305713">
      <w:pPr>
        <w:pStyle w:val="Schedule3L1"/>
        <w:keepNext w:val="0"/>
        <w:numPr>
          <w:ilvl w:val="0"/>
          <w:numId w:val="0"/>
        </w:numPr>
        <w:snapToGrid w:val="0"/>
        <w:rPr>
          <w:szCs w:val="24"/>
          <w:lang w:eastAsia="ko-KR"/>
        </w:rPr>
      </w:pPr>
      <w:bookmarkStart w:id="15" w:name="_Ref438722991"/>
      <w:r w:rsidRPr="00A14819">
        <w:rPr>
          <w:szCs w:val="24"/>
        </w:rPr>
        <w:lastRenderedPageBreak/>
        <w:t>schedule [</w:t>
      </w:r>
      <w:r w:rsidRPr="00A14819">
        <w:rPr>
          <w:szCs w:val="24"/>
        </w:rPr>
        <w:tab/>
        <w:t>]</w:t>
      </w:r>
      <w:r w:rsidR="00F903F6" w:rsidRPr="00A14819">
        <w:rPr>
          <w:szCs w:val="24"/>
        </w:rPr>
        <w:br/>
      </w:r>
      <w:bookmarkStart w:id="16" w:name="_Ref482408122"/>
      <w:bookmarkStart w:id="17" w:name="_Toc495792557"/>
      <w:r w:rsidR="00F903F6" w:rsidRPr="00A14819">
        <w:rPr>
          <w:szCs w:val="24"/>
        </w:rPr>
        <w:t>Form of Environmental and Social Monitoring Report</w:t>
      </w:r>
      <w:bookmarkEnd w:id="15"/>
      <w:bookmarkEnd w:id="16"/>
      <w:bookmarkEnd w:id="17"/>
    </w:p>
    <w:tbl>
      <w:tblPr>
        <w:tblStyle w:val="TableGrid"/>
        <w:tblW w:w="0" w:type="auto"/>
        <w:shd w:val="clear" w:color="auto" w:fill="92D050"/>
        <w:tblLook w:val="04A0" w:firstRow="1" w:lastRow="0" w:firstColumn="1" w:lastColumn="0" w:noHBand="0" w:noVBand="1"/>
      </w:tblPr>
      <w:tblGrid>
        <w:gridCol w:w="9016"/>
      </w:tblGrid>
      <w:tr w:rsidR="00305713" w:rsidRPr="00A14819" w14:paraId="3B4C5A46" w14:textId="77777777" w:rsidTr="003F2622">
        <w:trPr>
          <w:trHeight w:val="355"/>
        </w:trPr>
        <w:tc>
          <w:tcPr>
            <w:tcW w:w="9016" w:type="dxa"/>
            <w:shd w:val="clear" w:color="auto" w:fill="92D050"/>
          </w:tcPr>
          <w:p w14:paraId="4F318F1E" w14:textId="574EEB07" w:rsidR="00305713" w:rsidRPr="00A14819" w:rsidRDefault="00305713" w:rsidP="006965AE">
            <w:pPr>
              <w:pStyle w:val="BodyText"/>
              <w:snapToGrid w:val="0"/>
              <w:spacing w:after="0"/>
              <w:rPr>
                <w:rFonts w:cs="Times New Roman"/>
                <w:b/>
                <w:bCs/>
                <w:sz w:val="24"/>
                <w:szCs w:val="24"/>
                <w:lang w:eastAsia="ko-KR"/>
              </w:rPr>
            </w:pPr>
            <w:r w:rsidRPr="00A14819">
              <w:rPr>
                <w:rFonts w:cs="Times New Roman"/>
                <w:b/>
                <w:bCs/>
                <w:sz w:val="24"/>
                <w:szCs w:val="24"/>
                <w:lang w:eastAsia="ko-KR"/>
              </w:rPr>
              <w:t xml:space="preserve">Appropriate form of report (i.e. either version 1 or version 2 with relevant amendments) to be appended. </w:t>
            </w:r>
          </w:p>
        </w:tc>
      </w:tr>
    </w:tbl>
    <w:p w14:paraId="63F5AC68" w14:textId="77777777" w:rsidR="00B11D80" w:rsidRPr="00A14819" w:rsidRDefault="00B11D80" w:rsidP="006965AE">
      <w:pPr>
        <w:snapToGrid w:val="0"/>
        <w:spacing w:before="120" w:after="120" w:line="240" w:lineRule="auto"/>
        <w:jc w:val="center"/>
        <w:rPr>
          <w:rFonts w:ascii="Times New Roman" w:hAnsi="Times New Roman" w:cs="Times New Roman"/>
          <w:b/>
          <w:bCs/>
          <w:sz w:val="24"/>
          <w:szCs w:val="24"/>
        </w:rPr>
      </w:pPr>
    </w:p>
    <w:sectPr w:rsidR="00B11D80" w:rsidRPr="00A14819" w:rsidSect="000D3EE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5E91" w14:textId="77777777" w:rsidR="00726743" w:rsidRDefault="00726743" w:rsidP="0022272D">
      <w:pPr>
        <w:spacing w:after="0" w:line="240" w:lineRule="auto"/>
      </w:pPr>
      <w:r>
        <w:separator/>
      </w:r>
    </w:p>
  </w:endnote>
  <w:endnote w:type="continuationSeparator" w:id="0">
    <w:p w14:paraId="37022022" w14:textId="77777777" w:rsidR="00726743" w:rsidRDefault="00726743" w:rsidP="0022272D">
      <w:pPr>
        <w:spacing w:after="0" w:line="240" w:lineRule="auto"/>
      </w:pPr>
      <w:r>
        <w:continuationSeparator/>
      </w:r>
    </w:p>
  </w:endnote>
  <w:endnote w:type="continuationNotice" w:id="1">
    <w:p w14:paraId="3A85CDDB" w14:textId="77777777" w:rsidR="00726743" w:rsidRDefault="00726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745" w14:textId="77777777" w:rsidR="001D2794" w:rsidRDefault="001D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FB3" w14:textId="27E85B7A" w:rsidR="009A7924" w:rsidRPr="00594574" w:rsidRDefault="00314AC0">
    <w:pPr>
      <w:pStyle w:val="Footer"/>
    </w:pPr>
    <w:r>
      <w:rPr>
        <w:noProof/>
        <w:sz w:val="16"/>
      </w:rPr>
      <mc:AlternateContent>
        <mc:Choice Requires="wps">
          <w:drawing>
            <wp:anchor distT="0" distB="0" distL="114300" distR="114300" simplePos="0" relativeHeight="251659264" behindDoc="0" locked="0" layoutInCell="0" allowOverlap="1" wp14:anchorId="5AE395D7" wp14:editId="7812155F">
              <wp:simplePos x="0" y="0"/>
              <wp:positionH relativeFrom="page">
                <wp:posOffset>0</wp:posOffset>
              </wp:positionH>
              <wp:positionV relativeFrom="page">
                <wp:posOffset>10227945</wp:posOffset>
              </wp:positionV>
              <wp:extent cx="7560310" cy="273050"/>
              <wp:effectExtent l="0" t="0" r="0" b="12700"/>
              <wp:wrapNone/>
              <wp:docPr id="1" name="MSIPCMe7754c378fb3670f76810573" descr="{&quot;HashCode&quot;:-7884413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2DD00" w14:textId="0A3AD272" w:rsidR="00314AC0" w:rsidRPr="00314AC0" w:rsidRDefault="00314AC0" w:rsidP="00314AC0">
                          <w:pPr>
                            <w:spacing w:after="0"/>
                            <w:rPr>
                              <w:rFonts w:ascii="Calibri" w:hAnsi="Calibri" w:cs="Calibri"/>
                              <w:color w:val="008000"/>
                              <w:sz w:val="16"/>
                            </w:rPr>
                          </w:pPr>
                          <w:r w:rsidRPr="00314AC0">
                            <w:rPr>
                              <w:rFonts w:ascii="Calibri" w:hAnsi="Calibri" w:cs="Calibri"/>
                              <w:color w:val="008000"/>
                              <w:sz w:val="16"/>
                            </w:rPr>
                            <w:t>Aviva Investors: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E395D7" id="_x0000_t202" coordsize="21600,21600" o:spt="202" path="m,l,21600r21600,l21600,xe">
              <v:stroke joinstyle="miter"/>
              <v:path gradientshapeok="t" o:connecttype="rect"/>
            </v:shapetype>
            <v:shape id="MSIPCMe7754c378fb3670f76810573" o:spid="_x0000_s1026" type="#_x0000_t202" alt="{&quot;HashCode&quot;:-78844136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F42DD00" w14:textId="0A3AD272" w:rsidR="00314AC0" w:rsidRPr="00314AC0" w:rsidRDefault="00314AC0" w:rsidP="00314AC0">
                    <w:pPr>
                      <w:spacing w:after="0"/>
                      <w:rPr>
                        <w:rFonts w:ascii="Calibri" w:hAnsi="Calibri" w:cs="Calibri"/>
                        <w:color w:val="008000"/>
                        <w:sz w:val="16"/>
                      </w:rPr>
                    </w:pPr>
                    <w:r w:rsidRPr="00314AC0">
                      <w:rPr>
                        <w:rFonts w:ascii="Calibri" w:hAnsi="Calibri" w:cs="Calibri"/>
                        <w:color w:val="008000"/>
                        <w:sz w:val="16"/>
                      </w:rPr>
                      <w:t>Aviva Investors: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57" w14:textId="5759C1AE" w:rsidR="000A6317" w:rsidRPr="00F151DB" w:rsidRDefault="00CA699C">
    <w:pPr>
      <w:pStyle w:val="Footer"/>
      <w:rPr>
        <w:sz w:val="16"/>
      </w:rPr>
    </w:pPr>
    <w:r>
      <w:rPr>
        <w:sz w:val="16"/>
      </w:rPr>
      <w:t>WS:MFG1_London:4302999:v1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AF27" w14:textId="77777777" w:rsidR="00726743" w:rsidRDefault="00726743" w:rsidP="0022272D">
      <w:pPr>
        <w:spacing w:after="0" w:line="240" w:lineRule="auto"/>
      </w:pPr>
      <w:r>
        <w:separator/>
      </w:r>
    </w:p>
  </w:footnote>
  <w:footnote w:type="continuationSeparator" w:id="0">
    <w:p w14:paraId="5F3ED749" w14:textId="77777777" w:rsidR="00726743" w:rsidRDefault="00726743" w:rsidP="0022272D">
      <w:pPr>
        <w:spacing w:after="0" w:line="240" w:lineRule="auto"/>
      </w:pPr>
      <w:r>
        <w:continuationSeparator/>
      </w:r>
    </w:p>
  </w:footnote>
  <w:footnote w:type="continuationNotice" w:id="1">
    <w:p w14:paraId="13E90846" w14:textId="77777777" w:rsidR="00726743" w:rsidRDefault="00726743">
      <w:pPr>
        <w:spacing w:after="0" w:line="240" w:lineRule="auto"/>
      </w:pPr>
    </w:p>
  </w:footnote>
  <w:footnote w:id="2">
    <w:p w14:paraId="39B96737" w14:textId="1455C715" w:rsidR="00D33F7B" w:rsidRDefault="00D33F7B">
      <w:pPr>
        <w:pStyle w:val="FootnoteText"/>
      </w:pPr>
      <w:r>
        <w:rPr>
          <w:rStyle w:val="FootnoteReference"/>
        </w:rPr>
        <w:footnoteRef/>
      </w:r>
      <w:r>
        <w:t xml:space="preserve"> ESG</w:t>
      </w:r>
      <w:r w:rsidR="006F3144">
        <w:t>.</w:t>
      </w:r>
    </w:p>
  </w:footnote>
  <w:footnote w:id="3">
    <w:p w14:paraId="07F9001C" w14:textId="11DAFD04" w:rsidR="004E4F46" w:rsidRDefault="004E4F46" w:rsidP="00D429DE">
      <w:pPr>
        <w:pStyle w:val="FootnoteText"/>
        <w:ind w:left="284" w:hanging="198"/>
      </w:pPr>
      <w:r>
        <w:rPr>
          <w:rStyle w:val="FootnoteReference"/>
        </w:rPr>
        <w:footnoteRef/>
      </w:r>
      <w:r>
        <w:t xml:space="preserve"> </w:t>
      </w:r>
      <w:bookmarkStart w:id="5" w:name="_Hlk111044313"/>
      <w:r w:rsidR="00331825">
        <w:t xml:space="preserve">Project </w:t>
      </w:r>
      <w:r w:rsidR="00C02A14">
        <w:t xml:space="preserve">which could also </w:t>
      </w:r>
      <w:r w:rsidR="00331825">
        <w:t xml:space="preserve">be a </w:t>
      </w:r>
      <w:r>
        <w:t>Green</w:t>
      </w:r>
      <w:r w:rsidR="00331825">
        <w:t xml:space="preserve"> Project</w:t>
      </w:r>
      <w:r>
        <w:t xml:space="preserve"> or Social Project as defined in the Green Loan Principles and Social Loan Principles respectively.</w:t>
      </w:r>
      <w:r w:rsidR="00DF680D">
        <w:t xml:space="preserve">  </w:t>
      </w:r>
      <w:r w:rsidR="00C02A14">
        <w:t>T</w:t>
      </w:r>
      <w:r w:rsidR="00DF680D">
        <w:t>he principles set out herein are not intended to capture</w:t>
      </w:r>
      <w:r w:rsidR="00677AC0">
        <w:t xml:space="preserve"> drafting required to </w:t>
      </w:r>
      <w:r w:rsidR="00DF680D">
        <w:t>categoris</w:t>
      </w:r>
      <w:r w:rsidR="00677AC0">
        <w:t xml:space="preserve">e projects as </w:t>
      </w:r>
      <w:r w:rsidR="00D331CB">
        <w:t xml:space="preserve">either of </w:t>
      </w:r>
      <w:r w:rsidR="00677AC0">
        <w:t xml:space="preserve">a </w:t>
      </w:r>
      <w:r w:rsidR="00DF680D">
        <w:t xml:space="preserve">Green Project or Social Project but are limited to data reporting as required under EU and UK disclosure obligations. </w:t>
      </w:r>
      <w:bookmarkEnd w:id="5"/>
    </w:p>
  </w:footnote>
  <w:footnote w:id="4">
    <w:p w14:paraId="2CA5AC2A" w14:textId="1121198E" w:rsidR="008501DE" w:rsidRDefault="008501DE">
      <w:pPr>
        <w:pStyle w:val="FootnoteText"/>
      </w:pPr>
      <w:r>
        <w:rPr>
          <w:rStyle w:val="FootnoteReference"/>
        </w:rPr>
        <w:footnoteRef/>
      </w:r>
      <w:r>
        <w:t xml:space="preserve"> </w:t>
      </w:r>
      <w:r w:rsidR="008F3268">
        <w:rPr>
          <w:rFonts w:ascii="Calibri" w:hAnsi="Calibri" w:cs="Calibri"/>
          <w:color w:val="000000" w:themeColor="text1"/>
        </w:rPr>
        <w:t>This is the</w:t>
      </w:r>
      <w:r>
        <w:rPr>
          <w:rFonts w:ascii="Calibri" w:hAnsi="Calibri" w:cs="Calibri"/>
          <w:color w:val="000000" w:themeColor="text1"/>
        </w:rPr>
        <w:t xml:space="preserve"> Borrower</w:t>
      </w:r>
      <w:r w:rsidR="003F799E">
        <w:rPr>
          <w:rFonts w:ascii="Calibri" w:hAnsi="Calibri" w:cs="Calibri"/>
          <w:color w:val="000000" w:themeColor="text1"/>
        </w:rPr>
        <w:t>'s</w:t>
      </w:r>
      <w:r>
        <w:rPr>
          <w:rFonts w:ascii="Calibri" w:hAnsi="Calibri" w:cs="Calibri"/>
          <w:color w:val="000000" w:themeColor="text1"/>
        </w:rPr>
        <w:t xml:space="preserve"> representative</w:t>
      </w:r>
      <w:r w:rsidR="003F799E">
        <w:rPr>
          <w:rFonts w:ascii="Calibri" w:hAnsi="Calibri" w:cs="Calibri"/>
          <w:color w:val="000000" w:themeColor="text1"/>
        </w:rPr>
        <w:t>,</w:t>
      </w:r>
      <w:r>
        <w:rPr>
          <w:rFonts w:ascii="Calibri" w:hAnsi="Calibri" w:cs="Calibri"/>
          <w:color w:val="000000" w:themeColor="text1"/>
        </w:rPr>
        <w:t xml:space="preserve"> who looks after ESG matters</w:t>
      </w:r>
      <w:r w:rsidR="003F799E">
        <w:rPr>
          <w:rFonts w:ascii="Calibri" w:hAnsi="Calibri" w:cs="Calibri"/>
          <w:color w:val="000000" w:themeColor="text1"/>
        </w:rPr>
        <w:t>.</w:t>
      </w:r>
    </w:p>
  </w:footnote>
  <w:footnote w:id="5">
    <w:p w14:paraId="09BCC581" w14:textId="5EE6C45F" w:rsidR="00677AC0" w:rsidRDefault="00677AC0">
      <w:pPr>
        <w:pStyle w:val="FootnoteText"/>
      </w:pPr>
      <w:r>
        <w:rPr>
          <w:rStyle w:val="FootnoteReference"/>
        </w:rPr>
        <w:footnoteRef/>
      </w:r>
      <w:r>
        <w:t xml:space="preserve"> This could also be the social loan co-ordinator (as agent for the lender on these matters). </w:t>
      </w:r>
    </w:p>
  </w:footnote>
  <w:footnote w:id="6">
    <w:p w14:paraId="1AFBC39F" w14:textId="372AF799" w:rsidR="00677AC0" w:rsidRDefault="00677AC0" w:rsidP="00C85871">
      <w:pPr>
        <w:pStyle w:val="FootnoteText"/>
        <w:ind w:left="0" w:firstLine="0"/>
      </w:pPr>
      <w:r>
        <w:rPr>
          <w:rStyle w:val="FootnoteReference"/>
        </w:rPr>
        <w:footnoteRef/>
      </w:r>
      <w:r>
        <w:t xml:space="preserve"> Lenders may want two Directors of the Borrower sign the Environmental and Social Monitoring Report (or a form of Compliance Certificate related to the report) stating its accuracy </w:t>
      </w:r>
      <w:r w:rsidR="00C85871">
        <w:t>in all material respects and in relation to the calculation of the indicators.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7FFF" w14:textId="77777777" w:rsidR="001D2794" w:rsidRDefault="001D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2C9" w14:textId="77777777" w:rsidR="001D2794" w:rsidRDefault="001D2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E64E" w14:textId="77777777" w:rsidR="001D2794" w:rsidRDefault="001D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E7D15"/>
    <w:multiLevelType w:val="hybridMultilevel"/>
    <w:tmpl w:val="B01BE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E481B"/>
    <w:multiLevelType w:val="hybridMultilevel"/>
    <w:tmpl w:val="1EFE6730"/>
    <w:lvl w:ilvl="0" w:tplc="F83234A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395882"/>
    <w:multiLevelType w:val="hybridMultilevel"/>
    <w:tmpl w:val="E752FB50"/>
    <w:lvl w:ilvl="0" w:tplc="B360EF82">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6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32B9F"/>
    <w:multiLevelType w:val="hybridMultilevel"/>
    <w:tmpl w:val="6F86C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64886"/>
    <w:multiLevelType w:val="hybridMultilevel"/>
    <w:tmpl w:val="17E868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D66EBB"/>
    <w:multiLevelType w:val="hybridMultilevel"/>
    <w:tmpl w:val="E752FB50"/>
    <w:lvl w:ilvl="0" w:tplc="B360EF82">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0978"/>
    <w:multiLevelType w:val="hybridMultilevel"/>
    <w:tmpl w:val="E752FB50"/>
    <w:lvl w:ilvl="0" w:tplc="B360EF82">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63F81"/>
    <w:multiLevelType w:val="multilevel"/>
    <w:tmpl w:val="BF746E80"/>
    <w:name w:val="General"/>
    <w:lvl w:ilvl="0">
      <w:start w:val="1"/>
      <w:numFmt w:val="decimal"/>
      <w:pStyle w:val="General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30"/>
        </w:tabs>
        <w:ind w:left="143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9" w15:restartNumberingAfterBreak="0">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2DF54CD6"/>
    <w:multiLevelType w:val="hybridMultilevel"/>
    <w:tmpl w:val="BED8EEFC"/>
    <w:lvl w:ilvl="0" w:tplc="FF6A2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3717E"/>
    <w:multiLevelType w:val="hybridMultilevel"/>
    <w:tmpl w:val="E752FB50"/>
    <w:lvl w:ilvl="0" w:tplc="B360EF82">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D50DD"/>
    <w:multiLevelType w:val="hybridMultilevel"/>
    <w:tmpl w:val="C89CBFF2"/>
    <w:lvl w:ilvl="0" w:tplc="3472567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1AA739C"/>
    <w:multiLevelType w:val="hybridMultilevel"/>
    <w:tmpl w:val="E752FB50"/>
    <w:lvl w:ilvl="0" w:tplc="B360EF82">
      <w:start w:val="1"/>
      <w:numFmt w:val="lowerRoman"/>
      <w:lvlText w:val="(%1)"/>
      <w:lvlJc w:val="left"/>
      <w:pPr>
        <w:ind w:left="-1548" w:hanging="360"/>
      </w:pPr>
      <w:rPr>
        <w:rFonts w:asciiTheme="minorHAnsi" w:eastAsiaTheme="minorHAnsi" w:hAnsiTheme="minorHAnsi" w:cstheme="minorBidi"/>
      </w:rPr>
    </w:lvl>
    <w:lvl w:ilvl="1" w:tplc="08090019">
      <w:start w:val="1"/>
      <w:numFmt w:val="lowerLetter"/>
      <w:lvlText w:val="%2."/>
      <w:lvlJc w:val="left"/>
      <w:pPr>
        <w:ind w:left="-828" w:hanging="360"/>
      </w:pPr>
    </w:lvl>
    <w:lvl w:ilvl="2" w:tplc="0809001B" w:tentative="1">
      <w:start w:val="1"/>
      <w:numFmt w:val="lowerRoman"/>
      <w:lvlText w:val="%3."/>
      <w:lvlJc w:val="right"/>
      <w:pPr>
        <w:ind w:left="-108" w:hanging="180"/>
      </w:pPr>
    </w:lvl>
    <w:lvl w:ilvl="3" w:tplc="0809000F" w:tentative="1">
      <w:start w:val="1"/>
      <w:numFmt w:val="decimal"/>
      <w:lvlText w:val="%4."/>
      <w:lvlJc w:val="left"/>
      <w:pPr>
        <w:ind w:left="612" w:hanging="360"/>
      </w:pPr>
    </w:lvl>
    <w:lvl w:ilvl="4" w:tplc="08090019" w:tentative="1">
      <w:start w:val="1"/>
      <w:numFmt w:val="lowerLetter"/>
      <w:lvlText w:val="%5."/>
      <w:lvlJc w:val="left"/>
      <w:pPr>
        <w:ind w:left="1332" w:hanging="360"/>
      </w:pPr>
    </w:lvl>
    <w:lvl w:ilvl="5" w:tplc="0809001B" w:tentative="1">
      <w:start w:val="1"/>
      <w:numFmt w:val="lowerRoman"/>
      <w:lvlText w:val="%6."/>
      <w:lvlJc w:val="right"/>
      <w:pPr>
        <w:ind w:left="2052" w:hanging="180"/>
      </w:pPr>
    </w:lvl>
    <w:lvl w:ilvl="6" w:tplc="0809000F" w:tentative="1">
      <w:start w:val="1"/>
      <w:numFmt w:val="decimal"/>
      <w:lvlText w:val="%7."/>
      <w:lvlJc w:val="left"/>
      <w:pPr>
        <w:ind w:left="2772" w:hanging="360"/>
      </w:pPr>
    </w:lvl>
    <w:lvl w:ilvl="7" w:tplc="08090019" w:tentative="1">
      <w:start w:val="1"/>
      <w:numFmt w:val="lowerLetter"/>
      <w:lvlText w:val="%8."/>
      <w:lvlJc w:val="left"/>
      <w:pPr>
        <w:ind w:left="3492" w:hanging="360"/>
      </w:pPr>
    </w:lvl>
    <w:lvl w:ilvl="8" w:tplc="0809001B" w:tentative="1">
      <w:start w:val="1"/>
      <w:numFmt w:val="lowerRoman"/>
      <w:lvlText w:val="%9."/>
      <w:lvlJc w:val="right"/>
      <w:pPr>
        <w:ind w:left="4212" w:hanging="180"/>
      </w:pPr>
    </w:lvl>
  </w:abstractNum>
  <w:abstractNum w:abstractNumId="14" w15:restartNumberingAfterBreak="0">
    <w:nsid w:val="3778352C"/>
    <w:multiLevelType w:val="hybridMultilevel"/>
    <w:tmpl w:val="2174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C735A"/>
    <w:multiLevelType w:val="multilevel"/>
    <w:tmpl w:val="FCA4B866"/>
    <w:name w:val="Schedule"/>
    <w:lvl w:ilvl="0">
      <w:start w:val="1"/>
      <w:numFmt w:val="decimal"/>
      <w:pStyle w:val="Schedule3L1"/>
      <w:suff w:val="nothing"/>
      <w:lvlText w:val="Schedule %1"/>
      <w:lvlJc w:val="left"/>
      <w:pPr>
        <w:ind w:left="4537" w:firstLine="0"/>
      </w:pPr>
      <w:rPr>
        <w:rFonts w:asciiTheme="minorHAnsi" w:hAnsiTheme="minorHAnsi" w:cstheme="minorHAnsi" w:hint="default"/>
        <w:b/>
        <w:i w:val="0"/>
        <w:caps/>
        <w:smallCaps w:val="0"/>
        <w:strike w:val="0"/>
        <w:dstrike w:val="0"/>
        <w:vanish w:val="0"/>
        <w:color w:val="auto"/>
        <w:sz w:val="22"/>
        <w:szCs w:val="22"/>
        <w:u w:val="none"/>
        <w:vertAlign w:val="baseline"/>
      </w:rPr>
    </w:lvl>
    <w:lvl w:ilvl="1">
      <w:start w:val="1"/>
      <w:numFmt w:val="decimal"/>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heme="minorHAnsi" w:hAnsiTheme="minorHAnsi" w:cs="Times New Roman"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Theme="minorHAnsi" w:hAnsiTheme="minorHAnsi" w:cs="Times New Roman"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Theme="minorHAnsi" w:hAnsiTheme="minorHAnsi" w:cs="Times New Roman"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9C914C8"/>
    <w:multiLevelType w:val="hybridMultilevel"/>
    <w:tmpl w:val="5CCC7950"/>
    <w:lvl w:ilvl="0" w:tplc="67AEEE42">
      <w:start w:val="1"/>
      <w:numFmt w:val="lowerRoman"/>
      <w:lvlText w:val="(%1)"/>
      <w:lvlJc w:val="left"/>
      <w:pPr>
        <w:ind w:left="1080" w:hanging="360"/>
      </w:pPr>
      <w:rPr>
        <w:rFonts w:ascii="Calibri" w:eastAsiaTheme="minorHAns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D973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630E0F"/>
    <w:multiLevelType w:val="hybridMultilevel"/>
    <w:tmpl w:val="FF32E05C"/>
    <w:lvl w:ilvl="0" w:tplc="B360EF82">
      <w:start w:val="1"/>
      <w:numFmt w:val="lowerRoman"/>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1355D73"/>
    <w:multiLevelType w:val="hybridMultilevel"/>
    <w:tmpl w:val="15060E3E"/>
    <w:lvl w:ilvl="0" w:tplc="D87CBB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F1687"/>
    <w:multiLevelType w:val="hybridMultilevel"/>
    <w:tmpl w:val="15060E3E"/>
    <w:lvl w:ilvl="0" w:tplc="D87CBB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235E4"/>
    <w:multiLevelType w:val="hybridMultilevel"/>
    <w:tmpl w:val="5CCC7950"/>
    <w:lvl w:ilvl="0" w:tplc="67AEEE42">
      <w:start w:val="1"/>
      <w:numFmt w:val="lowerRoman"/>
      <w:lvlText w:val="(%1)"/>
      <w:lvlJc w:val="left"/>
      <w:pPr>
        <w:ind w:left="1080" w:hanging="360"/>
      </w:pPr>
      <w:rPr>
        <w:rFonts w:ascii="Calibri" w:eastAsiaTheme="minorHAns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4D2FE3"/>
    <w:multiLevelType w:val="hybridMultilevel"/>
    <w:tmpl w:val="55D681C4"/>
    <w:lvl w:ilvl="0" w:tplc="D3D07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D625D"/>
    <w:multiLevelType w:val="hybridMultilevel"/>
    <w:tmpl w:val="C3867E88"/>
    <w:lvl w:ilvl="0" w:tplc="27487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5E3A99"/>
    <w:multiLevelType w:val="hybridMultilevel"/>
    <w:tmpl w:val="79845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B3D3D"/>
    <w:multiLevelType w:val="hybridMultilevel"/>
    <w:tmpl w:val="E07487BA"/>
    <w:lvl w:ilvl="0" w:tplc="91A8510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A477E9"/>
    <w:multiLevelType w:val="multilevel"/>
    <w:tmpl w:val="8DE410A8"/>
    <w:name w:val="General 2"/>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27" w15:restartNumberingAfterBreak="0">
    <w:nsid w:val="5F57550E"/>
    <w:multiLevelType w:val="hybridMultilevel"/>
    <w:tmpl w:val="BD16A078"/>
    <w:lvl w:ilvl="0" w:tplc="199011DE">
      <w:start w:val="1"/>
      <w:numFmt w:val="lowerRoman"/>
      <w:lvlText w:val="(%1)"/>
      <w:lvlJc w:val="left"/>
      <w:pPr>
        <w:ind w:left="850" w:hanging="85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1D86954"/>
    <w:multiLevelType w:val="hybridMultilevel"/>
    <w:tmpl w:val="15060E3E"/>
    <w:lvl w:ilvl="0" w:tplc="D87CBB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A3A96"/>
    <w:multiLevelType w:val="hybridMultilevel"/>
    <w:tmpl w:val="771E4A44"/>
    <w:lvl w:ilvl="0" w:tplc="7402060A">
      <w:start w:val="1"/>
      <w:numFmt w:val="lowerRoman"/>
      <w:lvlText w:val="(%1)"/>
      <w:lvlJc w:val="left"/>
      <w:pPr>
        <w:ind w:left="1440" w:hanging="720"/>
      </w:pPr>
      <w:rPr>
        <w:rFonts w:ascii="Calibri" w:eastAsiaTheme="minorHAns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1C7D8B"/>
    <w:multiLevelType w:val="hybridMultilevel"/>
    <w:tmpl w:val="BED8EEFC"/>
    <w:lvl w:ilvl="0" w:tplc="FF6A2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05D41"/>
    <w:multiLevelType w:val="hybridMultilevel"/>
    <w:tmpl w:val="7F36A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F61AD"/>
    <w:multiLevelType w:val="hybridMultilevel"/>
    <w:tmpl w:val="5CCC7950"/>
    <w:lvl w:ilvl="0" w:tplc="67AEEE42">
      <w:start w:val="1"/>
      <w:numFmt w:val="lowerRoman"/>
      <w:lvlText w:val="(%1)"/>
      <w:lvlJc w:val="left"/>
      <w:pPr>
        <w:ind w:left="1080" w:hanging="360"/>
      </w:pPr>
      <w:rPr>
        <w:rFonts w:ascii="Calibri" w:eastAsiaTheme="minorHAns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056445"/>
    <w:multiLevelType w:val="hybridMultilevel"/>
    <w:tmpl w:val="E752FB50"/>
    <w:lvl w:ilvl="0" w:tplc="B360EF82">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FA6A43"/>
    <w:multiLevelType w:val="hybridMultilevel"/>
    <w:tmpl w:val="941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282803">
    <w:abstractNumId w:val="25"/>
  </w:num>
  <w:num w:numId="2" w16cid:durableId="841820135">
    <w:abstractNumId w:val="13"/>
  </w:num>
  <w:num w:numId="3" w16cid:durableId="1248536586">
    <w:abstractNumId w:val="11"/>
  </w:num>
  <w:num w:numId="4" w16cid:durableId="1243248978">
    <w:abstractNumId w:val="23"/>
  </w:num>
  <w:num w:numId="5" w16cid:durableId="1556621520">
    <w:abstractNumId w:val="7"/>
  </w:num>
  <w:num w:numId="6" w16cid:durableId="833834444">
    <w:abstractNumId w:val="33"/>
  </w:num>
  <w:num w:numId="7" w16cid:durableId="236668378">
    <w:abstractNumId w:val="2"/>
  </w:num>
  <w:num w:numId="8" w16cid:durableId="634220249">
    <w:abstractNumId w:val="9"/>
  </w:num>
  <w:num w:numId="9" w16cid:durableId="76756385">
    <w:abstractNumId w:val="10"/>
  </w:num>
  <w:num w:numId="10" w16cid:durableId="1186137604">
    <w:abstractNumId w:val="8"/>
  </w:num>
  <w:num w:numId="11" w16cid:durableId="1735228742">
    <w:abstractNumId w:val="6"/>
  </w:num>
  <w:num w:numId="12" w16cid:durableId="935748544">
    <w:abstractNumId w:val="15"/>
  </w:num>
  <w:num w:numId="13" w16cid:durableId="1109006769">
    <w:abstractNumId w:val="12"/>
  </w:num>
  <w:num w:numId="14" w16cid:durableId="2130080816">
    <w:abstractNumId w:val="22"/>
  </w:num>
  <w:num w:numId="15" w16cid:durableId="1387143445">
    <w:abstractNumId w:val="34"/>
  </w:num>
  <w:num w:numId="16" w16cid:durableId="612515607">
    <w:abstractNumId w:val="5"/>
  </w:num>
  <w:num w:numId="17" w16cid:durableId="1757440263">
    <w:abstractNumId w:val="19"/>
  </w:num>
  <w:num w:numId="18" w16cid:durableId="984311307">
    <w:abstractNumId w:val="16"/>
  </w:num>
  <w:num w:numId="19" w16cid:durableId="1127579409">
    <w:abstractNumId w:val="20"/>
  </w:num>
  <w:num w:numId="20" w16cid:durableId="591278632">
    <w:abstractNumId w:val="21"/>
  </w:num>
  <w:num w:numId="21" w16cid:durableId="168568897">
    <w:abstractNumId w:val="28"/>
  </w:num>
  <w:num w:numId="22" w16cid:durableId="834761284">
    <w:abstractNumId w:val="32"/>
  </w:num>
  <w:num w:numId="23" w16cid:durableId="1331182042">
    <w:abstractNumId w:val="1"/>
  </w:num>
  <w:num w:numId="24" w16cid:durableId="1271862413">
    <w:abstractNumId w:val="31"/>
  </w:num>
  <w:num w:numId="25" w16cid:durableId="2008708892">
    <w:abstractNumId w:val="15"/>
  </w:num>
  <w:num w:numId="26" w16cid:durableId="1259481174">
    <w:abstractNumId w:val="15"/>
  </w:num>
  <w:num w:numId="27" w16cid:durableId="421413829">
    <w:abstractNumId w:val="14"/>
  </w:num>
  <w:num w:numId="28" w16cid:durableId="565913699">
    <w:abstractNumId w:val="15"/>
  </w:num>
  <w:num w:numId="29" w16cid:durableId="1314212787">
    <w:abstractNumId w:val="15"/>
  </w:num>
  <w:num w:numId="30" w16cid:durableId="879436029">
    <w:abstractNumId w:val="15"/>
  </w:num>
  <w:num w:numId="31" w16cid:durableId="997728996">
    <w:abstractNumId w:val="15"/>
  </w:num>
  <w:num w:numId="32" w16cid:durableId="1425027824">
    <w:abstractNumId w:val="15"/>
  </w:num>
  <w:num w:numId="33" w16cid:durableId="1071388840">
    <w:abstractNumId w:val="15"/>
  </w:num>
  <w:num w:numId="34" w16cid:durableId="169684780">
    <w:abstractNumId w:val="0"/>
  </w:num>
  <w:num w:numId="35" w16cid:durableId="501434536">
    <w:abstractNumId w:val="29"/>
  </w:num>
  <w:num w:numId="36" w16cid:durableId="490368014">
    <w:abstractNumId w:val="30"/>
  </w:num>
  <w:num w:numId="37" w16cid:durableId="107361421">
    <w:abstractNumId w:val="24"/>
  </w:num>
  <w:num w:numId="38" w16cid:durableId="1194418142">
    <w:abstractNumId w:val="4"/>
  </w:num>
  <w:num w:numId="39" w16cid:durableId="653342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0638042">
    <w:abstractNumId w:val="26"/>
  </w:num>
  <w:num w:numId="41" w16cid:durableId="1222906580">
    <w:abstractNumId w:val="26"/>
    <w:lvlOverride w:ilvl="0">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1">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2">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3">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4">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5">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Override>
    <w:lvlOverride w:ilvl="6">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Override>
    <w:lvlOverride w:ilvl="7">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Override>
    <w:lvlOverride w:ilvl="8">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Override>
  </w:num>
  <w:num w:numId="42" w16cid:durableId="1537280507">
    <w:abstractNumId w:val="18"/>
  </w:num>
  <w:num w:numId="43" w16cid:durableId="173888854">
    <w:abstractNumId w:val="8"/>
  </w:num>
  <w:num w:numId="44" w16cid:durableId="369645450">
    <w:abstractNumId w:val="8"/>
  </w:num>
  <w:num w:numId="45" w16cid:durableId="1868908860">
    <w:abstractNumId w:val="17"/>
  </w:num>
  <w:num w:numId="46" w16cid:durableId="1116100716">
    <w:abstractNumId w:val="3"/>
  </w:num>
  <w:num w:numId="47" w16cid:durableId="1361272882">
    <w:abstractNumId w:val="8"/>
  </w:num>
  <w:num w:numId="48" w16cid:durableId="1944919796">
    <w:abstractNumId w:val="8"/>
  </w:num>
  <w:num w:numId="49" w16cid:durableId="1474757943">
    <w:abstractNumId w:val="8"/>
  </w:num>
  <w:num w:numId="50" w16cid:durableId="12799500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19"/>
    <w:rsid w:val="0002205B"/>
    <w:rsid w:val="00034C70"/>
    <w:rsid w:val="00043183"/>
    <w:rsid w:val="00050269"/>
    <w:rsid w:val="00051EA0"/>
    <w:rsid w:val="00061456"/>
    <w:rsid w:val="00061984"/>
    <w:rsid w:val="00066C72"/>
    <w:rsid w:val="00067BB5"/>
    <w:rsid w:val="00071C21"/>
    <w:rsid w:val="000778E2"/>
    <w:rsid w:val="000947CB"/>
    <w:rsid w:val="000A114C"/>
    <w:rsid w:val="000A3FF1"/>
    <w:rsid w:val="000A56A0"/>
    <w:rsid w:val="000A6317"/>
    <w:rsid w:val="000A65EB"/>
    <w:rsid w:val="000C0D36"/>
    <w:rsid w:val="000C2C99"/>
    <w:rsid w:val="000C506C"/>
    <w:rsid w:val="000D3EE8"/>
    <w:rsid w:val="000E36E0"/>
    <w:rsid w:val="000E6EC9"/>
    <w:rsid w:val="000F4D51"/>
    <w:rsid w:val="000F6156"/>
    <w:rsid w:val="00102F44"/>
    <w:rsid w:val="00127B1F"/>
    <w:rsid w:val="00133594"/>
    <w:rsid w:val="00135B0A"/>
    <w:rsid w:val="001379A2"/>
    <w:rsid w:val="00140FD7"/>
    <w:rsid w:val="001417BC"/>
    <w:rsid w:val="00145390"/>
    <w:rsid w:val="00153994"/>
    <w:rsid w:val="001602A3"/>
    <w:rsid w:val="00165087"/>
    <w:rsid w:val="001717A3"/>
    <w:rsid w:val="00186E97"/>
    <w:rsid w:val="001A1A03"/>
    <w:rsid w:val="001A2875"/>
    <w:rsid w:val="001A2FD0"/>
    <w:rsid w:val="001C564F"/>
    <w:rsid w:val="001D1F8C"/>
    <w:rsid w:val="001D2794"/>
    <w:rsid w:val="001D3A00"/>
    <w:rsid w:val="00200C6F"/>
    <w:rsid w:val="0020116D"/>
    <w:rsid w:val="00203740"/>
    <w:rsid w:val="00220911"/>
    <w:rsid w:val="00220F38"/>
    <w:rsid w:val="0022272D"/>
    <w:rsid w:val="002272B1"/>
    <w:rsid w:val="00232169"/>
    <w:rsid w:val="002376C6"/>
    <w:rsid w:val="00256F8C"/>
    <w:rsid w:val="00262595"/>
    <w:rsid w:val="00270841"/>
    <w:rsid w:val="00277D20"/>
    <w:rsid w:val="00297884"/>
    <w:rsid w:val="002A1621"/>
    <w:rsid w:val="002A33B4"/>
    <w:rsid w:val="002B618D"/>
    <w:rsid w:val="002B6409"/>
    <w:rsid w:val="002C072D"/>
    <w:rsid w:val="002C545A"/>
    <w:rsid w:val="002D2188"/>
    <w:rsid w:val="00305713"/>
    <w:rsid w:val="00311C9A"/>
    <w:rsid w:val="00314AC0"/>
    <w:rsid w:val="003161C0"/>
    <w:rsid w:val="00331825"/>
    <w:rsid w:val="0035267E"/>
    <w:rsid w:val="00356204"/>
    <w:rsid w:val="00357A4E"/>
    <w:rsid w:val="0036113E"/>
    <w:rsid w:val="00363F81"/>
    <w:rsid w:val="00364A31"/>
    <w:rsid w:val="0037379E"/>
    <w:rsid w:val="003749D0"/>
    <w:rsid w:val="00381ED2"/>
    <w:rsid w:val="00383673"/>
    <w:rsid w:val="00387242"/>
    <w:rsid w:val="003953D2"/>
    <w:rsid w:val="003A370E"/>
    <w:rsid w:val="003B1FA4"/>
    <w:rsid w:val="003C06C9"/>
    <w:rsid w:val="003C1BE2"/>
    <w:rsid w:val="003C435D"/>
    <w:rsid w:val="003E0B0E"/>
    <w:rsid w:val="003E27EF"/>
    <w:rsid w:val="003E52DA"/>
    <w:rsid w:val="003E70CB"/>
    <w:rsid w:val="003F2622"/>
    <w:rsid w:val="003F799E"/>
    <w:rsid w:val="00403698"/>
    <w:rsid w:val="004040BB"/>
    <w:rsid w:val="00410B6F"/>
    <w:rsid w:val="004237FE"/>
    <w:rsid w:val="004251D2"/>
    <w:rsid w:val="00435CE3"/>
    <w:rsid w:val="00453E71"/>
    <w:rsid w:val="0045477D"/>
    <w:rsid w:val="00462A3A"/>
    <w:rsid w:val="0048415E"/>
    <w:rsid w:val="004A22E6"/>
    <w:rsid w:val="004B710A"/>
    <w:rsid w:val="004D0D09"/>
    <w:rsid w:val="004E21F4"/>
    <w:rsid w:val="004E4F46"/>
    <w:rsid w:val="004E78A7"/>
    <w:rsid w:val="004E7AC7"/>
    <w:rsid w:val="004F3485"/>
    <w:rsid w:val="004F4358"/>
    <w:rsid w:val="004F508E"/>
    <w:rsid w:val="00500E54"/>
    <w:rsid w:val="00521118"/>
    <w:rsid w:val="00521A75"/>
    <w:rsid w:val="00542225"/>
    <w:rsid w:val="00545A73"/>
    <w:rsid w:val="00547B69"/>
    <w:rsid w:val="00557470"/>
    <w:rsid w:val="00563CA0"/>
    <w:rsid w:val="00563E91"/>
    <w:rsid w:val="0056441F"/>
    <w:rsid w:val="00593945"/>
    <w:rsid w:val="00594574"/>
    <w:rsid w:val="0059466D"/>
    <w:rsid w:val="005A08B9"/>
    <w:rsid w:val="005B4E8A"/>
    <w:rsid w:val="005C25E7"/>
    <w:rsid w:val="005D0328"/>
    <w:rsid w:val="005D21BE"/>
    <w:rsid w:val="005F372E"/>
    <w:rsid w:val="006043F2"/>
    <w:rsid w:val="00605482"/>
    <w:rsid w:val="006160F8"/>
    <w:rsid w:val="006227C6"/>
    <w:rsid w:val="00624A68"/>
    <w:rsid w:val="006252D2"/>
    <w:rsid w:val="00625DC7"/>
    <w:rsid w:val="00626E92"/>
    <w:rsid w:val="006428EE"/>
    <w:rsid w:val="00657B6F"/>
    <w:rsid w:val="00661B10"/>
    <w:rsid w:val="0066256F"/>
    <w:rsid w:val="00677AC0"/>
    <w:rsid w:val="00680B40"/>
    <w:rsid w:val="00690FFB"/>
    <w:rsid w:val="006965AE"/>
    <w:rsid w:val="006B5B6A"/>
    <w:rsid w:val="006C2158"/>
    <w:rsid w:val="006C485F"/>
    <w:rsid w:val="006E0783"/>
    <w:rsid w:val="006E2C43"/>
    <w:rsid w:val="006E5A48"/>
    <w:rsid w:val="006E7576"/>
    <w:rsid w:val="006F1BC0"/>
    <w:rsid w:val="006F3144"/>
    <w:rsid w:val="00701EE0"/>
    <w:rsid w:val="0070789C"/>
    <w:rsid w:val="007220E1"/>
    <w:rsid w:val="00726743"/>
    <w:rsid w:val="00734A88"/>
    <w:rsid w:val="00746DE2"/>
    <w:rsid w:val="00761B5B"/>
    <w:rsid w:val="0077157B"/>
    <w:rsid w:val="00777342"/>
    <w:rsid w:val="00784C28"/>
    <w:rsid w:val="00786641"/>
    <w:rsid w:val="0079020A"/>
    <w:rsid w:val="00796E1D"/>
    <w:rsid w:val="007A6C77"/>
    <w:rsid w:val="007C0273"/>
    <w:rsid w:val="007C2331"/>
    <w:rsid w:val="007C4812"/>
    <w:rsid w:val="007D70CB"/>
    <w:rsid w:val="007F6C5F"/>
    <w:rsid w:val="008002A1"/>
    <w:rsid w:val="00801353"/>
    <w:rsid w:val="0080267C"/>
    <w:rsid w:val="00847A03"/>
    <w:rsid w:val="008501DE"/>
    <w:rsid w:val="00854686"/>
    <w:rsid w:val="00864909"/>
    <w:rsid w:val="00871A65"/>
    <w:rsid w:val="0087419A"/>
    <w:rsid w:val="00874D11"/>
    <w:rsid w:val="00886F7F"/>
    <w:rsid w:val="00887EA7"/>
    <w:rsid w:val="008A0A8A"/>
    <w:rsid w:val="008A3E45"/>
    <w:rsid w:val="008B23BB"/>
    <w:rsid w:val="008B6773"/>
    <w:rsid w:val="008D38F6"/>
    <w:rsid w:val="008E2916"/>
    <w:rsid w:val="008E7447"/>
    <w:rsid w:val="008F224C"/>
    <w:rsid w:val="008F2D08"/>
    <w:rsid w:val="008F3268"/>
    <w:rsid w:val="008F4238"/>
    <w:rsid w:val="00901774"/>
    <w:rsid w:val="00902819"/>
    <w:rsid w:val="00910985"/>
    <w:rsid w:val="00920205"/>
    <w:rsid w:val="00921183"/>
    <w:rsid w:val="00935539"/>
    <w:rsid w:val="00940A3B"/>
    <w:rsid w:val="00941B38"/>
    <w:rsid w:val="00943477"/>
    <w:rsid w:val="009564FE"/>
    <w:rsid w:val="00962A19"/>
    <w:rsid w:val="00963786"/>
    <w:rsid w:val="009672AB"/>
    <w:rsid w:val="00975EE5"/>
    <w:rsid w:val="0098150E"/>
    <w:rsid w:val="0098410B"/>
    <w:rsid w:val="00995C87"/>
    <w:rsid w:val="009A296E"/>
    <w:rsid w:val="009A4F6D"/>
    <w:rsid w:val="009A7924"/>
    <w:rsid w:val="009C282D"/>
    <w:rsid w:val="009D0D49"/>
    <w:rsid w:val="009D0FCD"/>
    <w:rsid w:val="009D18C6"/>
    <w:rsid w:val="009D6B15"/>
    <w:rsid w:val="009E3B4F"/>
    <w:rsid w:val="00A00AE0"/>
    <w:rsid w:val="00A03C13"/>
    <w:rsid w:val="00A14819"/>
    <w:rsid w:val="00A3788F"/>
    <w:rsid w:val="00A45531"/>
    <w:rsid w:val="00A6564B"/>
    <w:rsid w:val="00A81566"/>
    <w:rsid w:val="00AB6FDD"/>
    <w:rsid w:val="00AB705A"/>
    <w:rsid w:val="00AC7A4A"/>
    <w:rsid w:val="00AC7CA3"/>
    <w:rsid w:val="00AD231D"/>
    <w:rsid w:val="00AE0E4E"/>
    <w:rsid w:val="00AE699D"/>
    <w:rsid w:val="00AF0934"/>
    <w:rsid w:val="00AF3CB7"/>
    <w:rsid w:val="00B0318D"/>
    <w:rsid w:val="00B04BF8"/>
    <w:rsid w:val="00B11D80"/>
    <w:rsid w:val="00B13646"/>
    <w:rsid w:val="00B30FD1"/>
    <w:rsid w:val="00B31A64"/>
    <w:rsid w:val="00B34BE8"/>
    <w:rsid w:val="00B35D90"/>
    <w:rsid w:val="00B36F67"/>
    <w:rsid w:val="00B42821"/>
    <w:rsid w:val="00B53923"/>
    <w:rsid w:val="00B61A63"/>
    <w:rsid w:val="00B64940"/>
    <w:rsid w:val="00B65E49"/>
    <w:rsid w:val="00B66DE9"/>
    <w:rsid w:val="00B67019"/>
    <w:rsid w:val="00B6747B"/>
    <w:rsid w:val="00B76F2D"/>
    <w:rsid w:val="00B83896"/>
    <w:rsid w:val="00B967F6"/>
    <w:rsid w:val="00BB2478"/>
    <w:rsid w:val="00BD1C9A"/>
    <w:rsid w:val="00BD65FD"/>
    <w:rsid w:val="00BE072D"/>
    <w:rsid w:val="00BE285E"/>
    <w:rsid w:val="00BF576D"/>
    <w:rsid w:val="00C015F3"/>
    <w:rsid w:val="00C02A14"/>
    <w:rsid w:val="00C20299"/>
    <w:rsid w:val="00C6572B"/>
    <w:rsid w:val="00C6647B"/>
    <w:rsid w:val="00C80EE4"/>
    <w:rsid w:val="00C83208"/>
    <w:rsid w:val="00C85871"/>
    <w:rsid w:val="00C94F2D"/>
    <w:rsid w:val="00C97DF1"/>
    <w:rsid w:val="00CA0A8E"/>
    <w:rsid w:val="00CA1732"/>
    <w:rsid w:val="00CA699C"/>
    <w:rsid w:val="00CE7E9B"/>
    <w:rsid w:val="00CF095D"/>
    <w:rsid w:val="00CF3904"/>
    <w:rsid w:val="00CF53FD"/>
    <w:rsid w:val="00D1629F"/>
    <w:rsid w:val="00D23414"/>
    <w:rsid w:val="00D331CB"/>
    <w:rsid w:val="00D33AF8"/>
    <w:rsid w:val="00D33F7B"/>
    <w:rsid w:val="00D415C5"/>
    <w:rsid w:val="00D429DE"/>
    <w:rsid w:val="00D4457B"/>
    <w:rsid w:val="00D6174B"/>
    <w:rsid w:val="00D631D7"/>
    <w:rsid w:val="00D63F8D"/>
    <w:rsid w:val="00D710DA"/>
    <w:rsid w:val="00D7720D"/>
    <w:rsid w:val="00DA4EE3"/>
    <w:rsid w:val="00DA5957"/>
    <w:rsid w:val="00DB3CF1"/>
    <w:rsid w:val="00DC3593"/>
    <w:rsid w:val="00DC7F82"/>
    <w:rsid w:val="00DF2C40"/>
    <w:rsid w:val="00DF680D"/>
    <w:rsid w:val="00E17F8B"/>
    <w:rsid w:val="00E2091C"/>
    <w:rsid w:val="00E256F9"/>
    <w:rsid w:val="00E25D2C"/>
    <w:rsid w:val="00E34799"/>
    <w:rsid w:val="00E377C8"/>
    <w:rsid w:val="00E432CF"/>
    <w:rsid w:val="00E5073B"/>
    <w:rsid w:val="00E523FD"/>
    <w:rsid w:val="00E54D46"/>
    <w:rsid w:val="00E5536F"/>
    <w:rsid w:val="00E57338"/>
    <w:rsid w:val="00E607D1"/>
    <w:rsid w:val="00E62B7C"/>
    <w:rsid w:val="00E750E4"/>
    <w:rsid w:val="00E8033E"/>
    <w:rsid w:val="00E90A16"/>
    <w:rsid w:val="00E90F4E"/>
    <w:rsid w:val="00EB10E3"/>
    <w:rsid w:val="00EB52BB"/>
    <w:rsid w:val="00EE5B74"/>
    <w:rsid w:val="00EF1E79"/>
    <w:rsid w:val="00EF7E68"/>
    <w:rsid w:val="00F02982"/>
    <w:rsid w:val="00F043A5"/>
    <w:rsid w:val="00F050F1"/>
    <w:rsid w:val="00F151DB"/>
    <w:rsid w:val="00F37678"/>
    <w:rsid w:val="00F46955"/>
    <w:rsid w:val="00F50BBC"/>
    <w:rsid w:val="00F60A2C"/>
    <w:rsid w:val="00F60BC0"/>
    <w:rsid w:val="00F6731B"/>
    <w:rsid w:val="00F903F6"/>
    <w:rsid w:val="00F9119B"/>
    <w:rsid w:val="00F9191A"/>
    <w:rsid w:val="00FA467A"/>
    <w:rsid w:val="00FC2CF2"/>
    <w:rsid w:val="00FD1217"/>
    <w:rsid w:val="00FD41CE"/>
    <w:rsid w:val="00FE1556"/>
    <w:rsid w:val="00FE278D"/>
    <w:rsid w:val="2F9CDD95"/>
    <w:rsid w:val="5440D5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76ADB"/>
  <w15:chartTrackingRefBased/>
  <w15:docId w15:val="{DB2B6C78-7203-4122-B878-0589E88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2D"/>
    <w:pPr>
      <w:ind w:left="720"/>
      <w:contextualSpacing/>
    </w:pPr>
  </w:style>
  <w:style w:type="paragraph" w:styleId="Header">
    <w:name w:val="header"/>
    <w:basedOn w:val="Normal"/>
    <w:link w:val="HeaderChar"/>
    <w:uiPriority w:val="99"/>
    <w:unhideWhenUsed/>
    <w:rsid w:val="00222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2D"/>
  </w:style>
  <w:style w:type="paragraph" w:styleId="Footer">
    <w:name w:val="footer"/>
    <w:basedOn w:val="Normal"/>
    <w:link w:val="FooterChar"/>
    <w:uiPriority w:val="99"/>
    <w:unhideWhenUsed/>
    <w:rsid w:val="0022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2D"/>
  </w:style>
  <w:style w:type="paragraph" w:customStyle="1" w:styleId="DefinitionsL9">
    <w:name w:val="Definitions L9"/>
    <w:basedOn w:val="Normal"/>
    <w:rsid w:val="00D33AF8"/>
    <w:pPr>
      <w:numPr>
        <w:ilvl w:val="8"/>
        <w:numId w:val="8"/>
      </w:numPr>
      <w:spacing w:after="240" w:line="240" w:lineRule="auto"/>
      <w:jc w:val="both"/>
    </w:pPr>
    <w:rPr>
      <w:rFonts w:ascii="Times New Roman" w:eastAsia="SimSun" w:hAnsi="Times New Roman" w:cs="Times New Roman"/>
      <w:sz w:val="24"/>
      <w:szCs w:val="16"/>
      <w:lang w:eastAsia="zh-CN" w:bidi="he-IL"/>
    </w:rPr>
  </w:style>
  <w:style w:type="paragraph" w:customStyle="1" w:styleId="DefinitionsL8">
    <w:name w:val="Definitions L8"/>
    <w:basedOn w:val="Normal"/>
    <w:rsid w:val="00D33AF8"/>
    <w:pPr>
      <w:numPr>
        <w:ilvl w:val="7"/>
        <w:numId w:val="8"/>
      </w:numPr>
      <w:spacing w:after="240" w:line="240" w:lineRule="auto"/>
      <w:jc w:val="both"/>
    </w:pPr>
    <w:rPr>
      <w:rFonts w:ascii="Times New Roman" w:eastAsia="SimSun" w:hAnsi="Times New Roman" w:cs="Times New Roman"/>
      <w:sz w:val="24"/>
      <w:szCs w:val="16"/>
      <w:lang w:eastAsia="zh-CN" w:bidi="he-IL"/>
    </w:rPr>
  </w:style>
  <w:style w:type="paragraph" w:customStyle="1" w:styleId="DefinitionsL7">
    <w:name w:val="Definitions L7"/>
    <w:basedOn w:val="Normal"/>
    <w:rsid w:val="00D33AF8"/>
    <w:pPr>
      <w:numPr>
        <w:ilvl w:val="6"/>
        <w:numId w:val="8"/>
      </w:numPr>
      <w:spacing w:after="240" w:line="240" w:lineRule="auto"/>
      <w:jc w:val="both"/>
    </w:pPr>
    <w:rPr>
      <w:rFonts w:ascii="Times New Roman" w:eastAsia="SimSun" w:hAnsi="Times New Roman" w:cs="Times New Roman"/>
      <w:sz w:val="24"/>
      <w:szCs w:val="16"/>
      <w:lang w:eastAsia="zh-CN" w:bidi="he-IL"/>
    </w:rPr>
  </w:style>
  <w:style w:type="paragraph" w:customStyle="1" w:styleId="DefinitionsL6">
    <w:name w:val="Definitions L6"/>
    <w:basedOn w:val="Normal"/>
    <w:rsid w:val="00D33AF8"/>
    <w:pPr>
      <w:numPr>
        <w:ilvl w:val="5"/>
        <w:numId w:val="8"/>
      </w:numPr>
      <w:spacing w:after="240" w:line="240" w:lineRule="auto"/>
      <w:jc w:val="both"/>
    </w:pPr>
    <w:rPr>
      <w:rFonts w:ascii="Times New Roman" w:eastAsia="SimSun" w:hAnsi="Times New Roman" w:cs="Times New Roman"/>
      <w:sz w:val="24"/>
      <w:szCs w:val="16"/>
      <w:lang w:eastAsia="zh-CN" w:bidi="he-IL"/>
    </w:rPr>
  </w:style>
  <w:style w:type="paragraph" w:customStyle="1" w:styleId="DefinitionsL5">
    <w:name w:val="Definitions L5"/>
    <w:basedOn w:val="Normal"/>
    <w:next w:val="Normal"/>
    <w:rsid w:val="00D33AF8"/>
    <w:pPr>
      <w:numPr>
        <w:ilvl w:val="4"/>
        <w:numId w:val="8"/>
      </w:numPr>
      <w:spacing w:after="240" w:line="240" w:lineRule="auto"/>
      <w:jc w:val="both"/>
      <w:outlineLvl w:val="4"/>
    </w:pPr>
    <w:rPr>
      <w:rFonts w:ascii="Times New Roman" w:eastAsia="SimSun" w:hAnsi="Times New Roman" w:cs="Times New Roman"/>
      <w:sz w:val="24"/>
      <w:szCs w:val="16"/>
      <w:lang w:eastAsia="zh-CN" w:bidi="he-IL"/>
    </w:rPr>
  </w:style>
  <w:style w:type="paragraph" w:customStyle="1" w:styleId="DefinitionsL4">
    <w:name w:val="Definitions L4"/>
    <w:basedOn w:val="Normal"/>
    <w:next w:val="Normal"/>
    <w:rsid w:val="00D33AF8"/>
    <w:pPr>
      <w:numPr>
        <w:ilvl w:val="3"/>
        <w:numId w:val="8"/>
      </w:numPr>
      <w:spacing w:after="240" w:line="240" w:lineRule="auto"/>
      <w:jc w:val="both"/>
      <w:outlineLvl w:val="3"/>
    </w:pPr>
    <w:rPr>
      <w:rFonts w:ascii="Times New Roman" w:eastAsia="SimSun" w:hAnsi="Times New Roman" w:cs="Times New Roman"/>
      <w:sz w:val="24"/>
      <w:szCs w:val="16"/>
      <w:lang w:eastAsia="zh-CN" w:bidi="he-IL"/>
    </w:rPr>
  </w:style>
  <w:style w:type="paragraph" w:customStyle="1" w:styleId="DefinitionsL3">
    <w:name w:val="Definitions L3"/>
    <w:basedOn w:val="Normal"/>
    <w:next w:val="BodyText3"/>
    <w:rsid w:val="00D33AF8"/>
    <w:pPr>
      <w:numPr>
        <w:ilvl w:val="2"/>
        <w:numId w:val="8"/>
      </w:numPr>
      <w:spacing w:after="240" w:line="240" w:lineRule="auto"/>
      <w:jc w:val="both"/>
      <w:outlineLvl w:val="2"/>
    </w:pPr>
    <w:rPr>
      <w:rFonts w:ascii="Times New Roman" w:eastAsia="SimSun" w:hAnsi="Times New Roman" w:cs="Times New Roman"/>
      <w:sz w:val="24"/>
      <w:szCs w:val="16"/>
      <w:lang w:eastAsia="zh-CN" w:bidi="he-IL"/>
    </w:rPr>
  </w:style>
  <w:style w:type="paragraph" w:customStyle="1" w:styleId="DefinitionsL2">
    <w:name w:val="Definitions L2"/>
    <w:basedOn w:val="Normal"/>
    <w:next w:val="BodyText2"/>
    <w:rsid w:val="00D33AF8"/>
    <w:pPr>
      <w:numPr>
        <w:ilvl w:val="1"/>
        <w:numId w:val="8"/>
      </w:numPr>
      <w:spacing w:after="240" w:line="240" w:lineRule="auto"/>
      <w:jc w:val="both"/>
      <w:outlineLvl w:val="1"/>
    </w:pPr>
    <w:rPr>
      <w:rFonts w:ascii="Times New Roman" w:eastAsia="SimSun" w:hAnsi="Times New Roman" w:cs="Times New Roman"/>
      <w:sz w:val="24"/>
      <w:szCs w:val="16"/>
      <w:lang w:eastAsia="zh-CN" w:bidi="he-IL"/>
    </w:rPr>
  </w:style>
  <w:style w:type="paragraph" w:customStyle="1" w:styleId="DefinitionsL1">
    <w:name w:val="Definitions L1"/>
    <w:basedOn w:val="Normal"/>
    <w:next w:val="Normal"/>
    <w:rsid w:val="00D33AF8"/>
    <w:pPr>
      <w:numPr>
        <w:numId w:val="8"/>
      </w:numPr>
      <w:spacing w:after="240" w:line="240" w:lineRule="auto"/>
      <w:jc w:val="both"/>
      <w:outlineLvl w:val="0"/>
    </w:pPr>
    <w:rPr>
      <w:rFonts w:ascii="Times New Roman" w:eastAsia="SimSun" w:hAnsi="Times New Roman" w:cs="Times New Roman"/>
      <w:sz w:val="24"/>
      <w:szCs w:val="16"/>
      <w:lang w:eastAsia="zh-CN" w:bidi="he-IL"/>
    </w:rPr>
  </w:style>
  <w:style w:type="paragraph" w:styleId="BodyText3">
    <w:name w:val="Body Text 3"/>
    <w:basedOn w:val="Normal"/>
    <w:link w:val="BodyText3Char"/>
    <w:uiPriority w:val="99"/>
    <w:semiHidden/>
    <w:unhideWhenUsed/>
    <w:rsid w:val="00D33AF8"/>
    <w:pPr>
      <w:spacing w:after="120"/>
    </w:pPr>
    <w:rPr>
      <w:sz w:val="16"/>
      <w:szCs w:val="16"/>
    </w:rPr>
  </w:style>
  <w:style w:type="character" w:customStyle="1" w:styleId="BodyText3Char">
    <w:name w:val="Body Text 3 Char"/>
    <w:basedOn w:val="DefaultParagraphFont"/>
    <w:link w:val="BodyText3"/>
    <w:uiPriority w:val="99"/>
    <w:semiHidden/>
    <w:rsid w:val="00D33AF8"/>
    <w:rPr>
      <w:sz w:val="16"/>
      <w:szCs w:val="16"/>
    </w:rPr>
  </w:style>
  <w:style w:type="paragraph" w:styleId="BodyText2">
    <w:name w:val="Body Text 2"/>
    <w:basedOn w:val="Normal"/>
    <w:link w:val="BodyText2Char"/>
    <w:uiPriority w:val="99"/>
    <w:unhideWhenUsed/>
    <w:rsid w:val="00D33AF8"/>
    <w:pPr>
      <w:spacing w:after="120" w:line="480" w:lineRule="auto"/>
    </w:pPr>
  </w:style>
  <w:style w:type="character" w:customStyle="1" w:styleId="BodyText2Char">
    <w:name w:val="Body Text 2 Char"/>
    <w:basedOn w:val="DefaultParagraphFont"/>
    <w:link w:val="BodyText2"/>
    <w:uiPriority w:val="99"/>
    <w:rsid w:val="00D33AF8"/>
  </w:style>
  <w:style w:type="paragraph" w:customStyle="1" w:styleId="General2L9">
    <w:name w:val="General 2 L9"/>
    <w:basedOn w:val="Normal"/>
    <w:qFormat/>
    <w:rsid w:val="002D2188"/>
    <w:pPr>
      <w:numPr>
        <w:ilvl w:val="8"/>
        <w:numId w:val="10"/>
      </w:numPr>
      <w:spacing w:after="240" w:line="240" w:lineRule="auto"/>
      <w:jc w:val="both"/>
    </w:pPr>
    <w:rPr>
      <w:rFonts w:ascii="Times New Roman" w:eastAsia="SimSun" w:hAnsi="Times New Roman" w:cs="Times New Roman"/>
      <w:sz w:val="24"/>
      <w:szCs w:val="16"/>
      <w:lang w:eastAsia="zh-CN" w:bidi="he-IL"/>
    </w:rPr>
  </w:style>
  <w:style w:type="paragraph" w:customStyle="1" w:styleId="General2L8">
    <w:name w:val="General 2 L8"/>
    <w:basedOn w:val="Normal"/>
    <w:qFormat/>
    <w:rsid w:val="002D2188"/>
    <w:pPr>
      <w:numPr>
        <w:ilvl w:val="7"/>
        <w:numId w:val="10"/>
      </w:numPr>
      <w:spacing w:after="240" w:line="240" w:lineRule="auto"/>
      <w:jc w:val="both"/>
    </w:pPr>
    <w:rPr>
      <w:rFonts w:ascii="Times New Roman" w:eastAsia="SimSun" w:hAnsi="Times New Roman" w:cs="Times New Roman"/>
      <w:sz w:val="24"/>
      <w:szCs w:val="16"/>
      <w:lang w:eastAsia="zh-CN" w:bidi="he-IL"/>
    </w:rPr>
  </w:style>
  <w:style w:type="paragraph" w:customStyle="1" w:styleId="General2L7">
    <w:name w:val="General 2 L7"/>
    <w:basedOn w:val="Normal"/>
    <w:qFormat/>
    <w:rsid w:val="002D2188"/>
    <w:pPr>
      <w:numPr>
        <w:ilvl w:val="6"/>
        <w:numId w:val="10"/>
      </w:numPr>
      <w:spacing w:after="240" w:line="240" w:lineRule="auto"/>
      <w:jc w:val="both"/>
    </w:pPr>
    <w:rPr>
      <w:rFonts w:ascii="Times New Roman" w:eastAsia="SimSun" w:hAnsi="Times New Roman" w:cs="Times New Roman"/>
      <w:sz w:val="24"/>
      <w:szCs w:val="16"/>
      <w:lang w:eastAsia="zh-CN" w:bidi="he-IL"/>
    </w:rPr>
  </w:style>
  <w:style w:type="paragraph" w:customStyle="1" w:styleId="General2L6">
    <w:name w:val="General 2 L6"/>
    <w:basedOn w:val="Normal"/>
    <w:qFormat/>
    <w:rsid w:val="002D2188"/>
    <w:pPr>
      <w:numPr>
        <w:ilvl w:val="5"/>
        <w:numId w:val="10"/>
      </w:numPr>
      <w:spacing w:after="240" w:line="240" w:lineRule="auto"/>
      <w:jc w:val="both"/>
      <w:outlineLvl w:val="5"/>
    </w:pPr>
    <w:rPr>
      <w:rFonts w:ascii="Times New Roman" w:eastAsia="SimSun" w:hAnsi="Times New Roman" w:cs="Times New Roman"/>
      <w:sz w:val="24"/>
      <w:szCs w:val="16"/>
      <w:lang w:eastAsia="zh-CN" w:bidi="he-IL"/>
    </w:rPr>
  </w:style>
  <w:style w:type="paragraph" w:customStyle="1" w:styleId="General2L5">
    <w:name w:val="General 2 L5"/>
    <w:basedOn w:val="Normal"/>
    <w:next w:val="Normal"/>
    <w:qFormat/>
    <w:rsid w:val="002D2188"/>
    <w:pPr>
      <w:numPr>
        <w:ilvl w:val="4"/>
        <w:numId w:val="10"/>
      </w:numPr>
      <w:spacing w:after="240" w:line="240" w:lineRule="auto"/>
      <w:jc w:val="both"/>
      <w:outlineLvl w:val="4"/>
    </w:pPr>
    <w:rPr>
      <w:rFonts w:ascii="Times New Roman" w:eastAsia="SimSun" w:hAnsi="Times New Roman" w:cs="Times New Roman"/>
      <w:sz w:val="24"/>
      <w:szCs w:val="16"/>
      <w:lang w:eastAsia="zh-CN" w:bidi="he-IL"/>
    </w:rPr>
  </w:style>
  <w:style w:type="paragraph" w:customStyle="1" w:styleId="General2L4">
    <w:name w:val="General 2 L4"/>
    <w:basedOn w:val="Normal"/>
    <w:next w:val="BodyText3"/>
    <w:qFormat/>
    <w:rsid w:val="002D2188"/>
    <w:pPr>
      <w:numPr>
        <w:ilvl w:val="3"/>
        <w:numId w:val="10"/>
      </w:numPr>
      <w:spacing w:after="240" w:line="240" w:lineRule="auto"/>
      <w:jc w:val="both"/>
      <w:outlineLvl w:val="3"/>
    </w:pPr>
    <w:rPr>
      <w:rFonts w:ascii="Times New Roman" w:eastAsia="SimSun" w:hAnsi="Times New Roman" w:cs="Times New Roman"/>
      <w:sz w:val="24"/>
      <w:szCs w:val="16"/>
      <w:lang w:eastAsia="zh-CN" w:bidi="he-IL"/>
    </w:rPr>
  </w:style>
  <w:style w:type="paragraph" w:customStyle="1" w:styleId="General2L3">
    <w:name w:val="General 2 L3"/>
    <w:basedOn w:val="Normal"/>
    <w:next w:val="BodyText2"/>
    <w:link w:val="General2L3Char"/>
    <w:qFormat/>
    <w:rsid w:val="002D2188"/>
    <w:pPr>
      <w:numPr>
        <w:ilvl w:val="2"/>
        <w:numId w:val="10"/>
      </w:numPr>
      <w:spacing w:after="240" w:line="240" w:lineRule="auto"/>
      <w:jc w:val="both"/>
      <w:outlineLvl w:val="2"/>
    </w:pPr>
    <w:rPr>
      <w:rFonts w:ascii="Times New Roman" w:eastAsia="SimSun" w:hAnsi="Times New Roman" w:cs="Times New Roman"/>
      <w:sz w:val="24"/>
      <w:szCs w:val="16"/>
      <w:lang w:eastAsia="zh-CN" w:bidi="he-IL"/>
    </w:rPr>
  </w:style>
  <w:style w:type="paragraph" w:customStyle="1" w:styleId="General2L2">
    <w:name w:val="General 2 L2"/>
    <w:basedOn w:val="Normal"/>
    <w:next w:val="Normal"/>
    <w:link w:val="General2L2Char"/>
    <w:qFormat/>
    <w:rsid w:val="002D2188"/>
    <w:pPr>
      <w:keepNext/>
      <w:numPr>
        <w:ilvl w:val="1"/>
        <w:numId w:val="10"/>
      </w:numPr>
      <w:suppressAutoHyphens/>
      <w:spacing w:after="240" w:line="240" w:lineRule="auto"/>
      <w:outlineLvl w:val="1"/>
    </w:pPr>
    <w:rPr>
      <w:rFonts w:ascii="Times New Roman" w:eastAsia="SimSun" w:hAnsi="Times New Roman" w:cs="Times New Roman"/>
      <w:b/>
      <w:sz w:val="24"/>
      <w:szCs w:val="16"/>
      <w:lang w:eastAsia="zh-CN" w:bidi="he-IL"/>
    </w:rPr>
  </w:style>
  <w:style w:type="paragraph" w:customStyle="1" w:styleId="General2L1">
    <w:name w:val="General 2 L1"/>
    <w:basedOn w:val="Normal"/>
    <w:next w:val="Normal"/>
    <w:link w:val="General2L1Char"/>
    <w:qFormat/>
    <w:rsid w:val="002D2188"/>
    <w:pPr>
      <w:keepNext/>
      <w:numPr>
        <w:numId w:val="10"/>
      </w:numPr>
      <w:suppressAutoHyphens/>
      <w:spacing w:after="240" w:line="240" w:lineRule="auto"/>
      <w:outlineLvl w:val="0"/>
    </w:pPr>
    <w:rPr>
      <w:rFonts w:ascii="Times New Roman" w:eastAsia="SimSun" w:hAnsi="Times New Roman" w:cs="Times New Roman"/>
      <w:b/>
      <w:caps/>
      <w:sz w:val="24"/>
      <w:szCs w:val="16"/>
      <w:lang w:eastAsia="zh-CN" w:bidi="he-IL"/>
    </w:rPr>
  </w:style>
  <w:style w:type="character" w:customStyle="1" w:styleId="General2L3Char">
    <w:name w:val="General 2 L3 Char"/>
    <w:link w:val="General2L3"/>
    <w:locked/>
    <w:rsid w:val="002D2188"/>
    <w:rPr>
      <w:rFonts w:ascii="Times New Roman" w:eastAsia="SimSun" w:hAnsi="Times New Roman" w:cs="Times New Roman"/>
      <w:sz w:val="24"/>
      <w:szCs w:val="16"/>
      <w:lang w:eastAsia="zh-CN" w:bidi="he-IL"/>
    </w:rPr>
  </w:style>
  <w:style w:type="character" w:customStyle="1" w:styleId="General2L2Char">
    <w:name w:val="General 2 L2 Char"/>
    <w:basedOn w:val="DefaultParagraphFont"/>
    <w:link w:val="General2L2"/>
    <w:rsid w:val="002D2188"/>
    <w:rPr>
      <w:rFonts w:ascii="Times New Roman" w:eastAsia="SimSun" w:hAnsi="Times New Roman" w:cs="Times New Roman"/>
      <w:b/>
      <w:sz w:val="24"/>
      <w:szCs w:val="16"/>
      <w:lang w:eastAsia="zh-CN" w:bidi="he-IL"/>
    </w:rPr>
  </w:style>
  <w:style w:type="paragraph" w:styleId="BodyText">
    <w:name w:val="Body Text"/>
    <w:basedOn w:val="Normal"/>
    <w:link w:val="BodyTextChar"/>
    <w:uiPriority w:val="99"/>
    <w:semiHidden/>
    <w:unhideWhenUsed/>
    <w:rsid w:val="00F903F6"/>
    <w:pPr>
      <w:spacing w:after="120"/>
    </w:pPr>
  </w:style>
  <w:style w:type="character" w:customStyle="1" w:styleId="BodyTextChar">
    <w:name w:val="Body Text Char"/>
    <w:basedOn w:val="DefaultParagraphFont"/>
    <w:link w:val="BodyText"/>
    <w:uiPriority w:val="99"/>
    <w:semiHidden/>
    <w:rsid w:val="00F903F6"/>
  </w:style>
  <w:style w:type="paragraph" w:styleId="FootnoteText">
    <w:name w:val="footnote text"/>
    <w:aliases w:val="ALTS FOOTNOTE,Car,F,FT,Footnote Text Char Char Char,Footnote Text Char Char Char Char,Style 25,~FootnoteText"/>
    <w:basedOn w:val="Normal"/>
    <w:next w:val="Normal"/>
    <w:link w:val="FootnoteTextChar"/>
    <w:qFormat/>
    <w:rsid w:val="00F903F6"/>
    <w:pPr>
      <w:spacing w:after="120" w:line="240" w:lineRule="auto"/>
      <w:ind w:left="340" w:hanging="340"/>
      <w:jc w:val="both"/>
    </w:pPr>
    <w:rPr>
      <w:rFonts w:ascii="Times New Roman" w:eastAsia="SimSun" w:hAnsi="Times New Roman" w:cs="Times New Roman"/>
      <w:sz w:val="20"/>
      <w:szCs w:val="20"/>
      <w:lang w:eastAsia="zh-CN" w:bidi="ar-AE"/>
    </w:rPr>
  </w:style>
  <w:style w:type="character" w:customStyle="1" w:styleId="FootnoteTextChar">
    <w:name w:val="Footnote Text Char"/>
    <w:aliases w:val="ALTS FOOTNOTE Char,Car Char,F Char,FT Char,Footnote Text Char Char Char Char1,Footnote Text Char Char Char Char Char,Style 25 Char,~FootnoteText Char"/>
    <w:basedOn w:val="DefaultParagraphFont"/>
    <w:link w:val="FootnoteText"/>
    <w:rsid w:val="00F903F6"/>
    <w:rPr>
      <w:rFonts w:ascii="Times New Roman" w:eastAsia="SimSun" w:hAnsi="Times New Roman" w:cs="Times New Roman"/>
      <w:sz w:val="20"/>
      <w:szCs w:val="20"/>
      <w:lang w:eastAsia="zh-CN" w:bidi="ar-AE"/>
    </w:rPr>
  </w:style>
  <w:style w:type="character" w:styleId="FootnoteReference">
    <w:name w:val="footnote reference"/>
    <w:aliases w:val="* Nota de rodapé,Nota de rodapé,Style 21,Style 24"/>
    <w:basedOn w:val="DefaultParagraphFont"/>
    <w:rsid w:val="00F903F6"/>
    <w:rPr>
      <w:rFonts w:ascii="Times New Roman" w:eastAsia="SimSun" w:hAnsi="Times New Roman" w:cs="Simplified Arabic"/>
      <w:sz w:val="18"/>
      <w:szCs w:val="18"/>
      <w:vertAlign w:val="superscript"/>
      <w:lang w:bidi="ar-AE"/>
    </w:rPr>
  </w:style>
  <w:style w:type="table" w:styleId="TableGrid">
    <w:name w:val="Table Grid"/>
    <w:basedOn w:val="TableNormal"/>
    <w:uiPriority w:val="39"/>
    <w:rsid w:val="00F903F6"/>
    <w:pPr>
      <w:spacing w:after="0" w:line="240" w:lineRule="auto"/>
      <w:jc w:val="both"/>
    </w:pPr>
    <w:rPr>
      <w:rFonts w:ascii="Times New Roman" w:eastAsia="SimSun" w:hAnsi="Times New Roman"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 1"/>
    <w:basedOn w:val="Normal"/>
    <w:link w:val="BodyText1Char"/>
    <w:qFormat/>
    <w:rsid w:val="00F903F6"/>
    <w:pPr>
      <w:spacing w:after="240" w:line="240" w:lineRule="auto"/>
      <w:ind w:left="720"/>
      <w:jc w:val="both"/>
    </w:pPr>
    <w:rPr>
      <w:rFonts w:ascii="Times New Roman" w:eastAsia="SimSun" w:hAnsi="Times New Roman" w:cs="Times New Roman"/>
      <w:sz w:val="24"/>
      <w:szCs w:val="24"/>
      <w:lang w:eastAsia="en-GB" w:bidi="ar-AE"/>
    </w:rPr>
  </w:style>
  <w:style w:type="paragraph" w:customStyle="1" w:styleId="Schedule3L9">
    <w:name w:val="Schedule 3 L9"/>
    <w:basedOn w:val="Normal"/>
    <w:rsid w:val="00F903F6"/>
    <w:pPr>
      <w:numPr>
        <w:ilvl w:val="8"/>
        <w:numId w:val="12"/>
      </w:numPr>
      <w:tabs>
        <w:tab w:val="num" w:pos="360"/>
      </w:tabs>
      <w:spacing w:after="240" w:line="240" w:lineRule="auto"/>
      <w:jc w:val="both"/>
      <w:outlineLvl w:val="8"/>
    </w:pPr>
    <w:rPr>
      <w:rFonts w:ascii="Times New Roman" w:eastAsia="SimSun" w:hAnsi="Times New Roman" w:cs="Times New Roman"/>
      <w:sz w:val="24"/>
      <w:szCs w:val="16"/>
      <w:lang w:eastAsia="zh-CN" w:bidi="he-IL"/>
    </w:rPr>
  </w:style>
  <w:style w:type="paragraph" w:customStyle="1" w:styleId="Schedule3L8">
    <w:name w:val="Schedule 3 L8"/>
    <w:basedOn w:val="Normal"/>
    <w:rsid w:val="00F903F6"/>
    <w:pPr>
      <w:numPr>
        <w:ilvl w:val="7"/>
        <w:numId w:val="12"/>
      </w:numPr>
      <w:tabs>
        <w:tab w:val="clear" w:pos="3600"/>
        <w:tab w:val="num" w:pos="360"/>
      </w:tabs>
      <w:spacing w:after="240" w:line="240" w:lineRule="auto"/>
      <w:ind w:left="0" w:firstLine="0"/>
      <w:jc w:val="both"/>
      <w:outlineLvl w:val="7"/>
    </w:pPr>
    <w:rPr>
      <w:rFonts w:ascii="Times New Roman" w:eastAsia="SimSun" w:hAnsi="Times New Roman" w:cs="Times New Roman"/>
      <w:sz w:val="24"/>
      <w:szCs w:val="16"/>
      <w:lang w:eastAsia="zh-CN" w:bidi="he-IL"/>
    </w:rPr>
  </w:style>
  <w:style w:type="paragraph" w:customStyle="1" w:styleId="Schedule3L7">
    <w:name w:val="Schedule 3 L7"/>
    <w:basedOn w:val="Normal"/>
    <w:next w:val="Normal"/>
    <w:rsid w:val="00F903F6"/>
    <w:pPr>
      <w:numPr>
        <w:ilvl w:val="6"/>
        <w:numId w:val="12"/>
      </w:numPr>
      <w:tabs>
        <w:tab w:val="clear" w:pos="2880"/>
        <w:tab w:val="num" w:pos="360"/>
      </w:tabs>
      <w:spacing w:after="240" w:line="240" w:lineRule="auto"/>
      <w:ind w:left="0" w:firstLine="0"/>
      <w:jc w:val="both"/>
      <w:outlineLvl w:val="6"/>
    </w:pPr>
    <w:rPr>
      <w:rFonts w:ascii="Times New Roman" w:eastAsia="SimSun" w:hAnsi="Times New Roman" w:cs="Times New Roman"/>
      <w:sz w:val="24"/>
      <w:szCs w:val="16"/>
      <w:lang w:eastAsia="zh-CN" w:bidi="he-IL"/>
    </w:rPr>
  </w:style>
  <w:style w:type="paragraph" w:customStyle="1" w:styleId="Schedule3L6">
    <w:name w:val="Schedule 3 L6"/>
    <w:basedOn w:val="Normal"/>
    <w:next w:val="BodyText3"/>
    <w:rsid w:val="00F903F6"/>
    <w:pPr>
      <w:numPr>
        <w:ilvl w:val="5"/>
        <w:numId w:val="12"/>
      </w:numPr>
      <w:tabs>
        <w:tab w:val="clear" w:pos="2160"/>
        <w:tab w:val="num" w:pos="360"/>
      </w:tabs>
      <w:spacing w:after="240" w:line="240" w:lineRule="auto"/>
      <w:ind w:left="0" w:firstLine="0"/>
      <w:jc w:val="both"/>
      <w:outlineLvl w:val="5"/>
    </w:pPr>
    <w:rPr>
      <w:rFonts w:ascii="Times New Roman" w:eastAsia="SimSun" w:hAnsi="Times New Roman" w:cs="Times New Roman"/>
      <w:sz w:val="24"/>
      <w:szCs w:val="16"/>
      <w:lang w:eastAsia="zh-CN" w:bidi="he-IL"/>
    </w:rPr>
  </w:style>
  <w:style w:type="paragraph" w:customStyle="1" w:styleId="Schedule3L5">
    <w:name w:val="Schedule 3 L5"/>
    <w:basedOn w:val="Normal"/>
    <w:next w:val="BodyText2"/>
    <w:rsid w:val="00F903F6"/>
    <w:pPr>
      <w:numPr>
        <w:ilvl w:val="4"/>
        <w:numId w:val="12"/>
      </w:numPr>
      <w:spacing w:after="240" w:line="240" w:lineRule="auto"/>
      <w:jc w:val="both"/>
      <w:outlineLvl w:val="4"/>
    </w:pPr>
    <w:rPr>
      <w:rFonts w:ascii="Times New Roman" w:eastAsia="SimSun" w:hAnsi="Times New Roman" w:cs="Times New Roman"/>
      <w:sz w:val="24"/>
      <w:szCs w:val="16"/>
      <w:lang w:eastAsia="zh-CN" w:bidi="he-IL"/>
    </w:rPr>
  </w:style>
  <w:style w:type="paragraph" w:customStyle="1" w:styleId="Schedule3L4">
    <w:name w:val="Schedule 3 L4"/>
    <w:basedOn w:val="Normal"/>
    <w:next w:val="BodyText1"/>
    <w:rsid w:val="00F903F6"/>
    <w:pPr>
      <w:numPr>
        <w:ilvl w:val="3"/>
        <w:numId w:val="12"/>
      </w:numPr>
      <w:spacing w:after="240" w:line="240" w:lineRule="auto"/>
      <w:jc w:val="both"/>
      <w:outlineLvl w:val="3"/>
    </w:pPr>
    <w:rPr>
      <w:rFonts w:ascii="Times New Roman" w:eastAsia="SimSun" w:hAnsi="Times New Roman" w:cs="Times New Roman"/>
      <w:sz w:val="24"/>
      <w:szCs w:val="16"/>
      <w:lang w:eastAsia="zh-CN" w:bidi="he-IL"/>
    </w:rPr>
  </w:style>
  <w:style w:type="paragraph" w:customStyle="1" w:styleId="Schedule3L3">
    <w:name w:val="Schedule 3 L3"/>
    <w:basedOn w:val="Normal"/>
    <w:next w:val="BodyText1"/>
    <w:link w:val="Schedule3L3Char"/>
    <w:rsid w:val="00F903F6"/>
    <w:pPr>
      <w:numPr>
        <w:ilvl w:val="2"/>
        <w:numId w:val="12"/>
      </w:numPr>
      <w:spacing w:after="240" w:line="240" w:lineRule="auto"/>
      <w:jc w:val="both"/>
      <w:outlineLvl w:val="2"/>
    </w:pPr>
    <w:rPr>
      <w:rFonts w:ascii="Times New Roman" w:eastAsia="SimSun" w:hAnsi="Times New Roman" w:cs="Times New Roman"/>
      <w:sz w:val="24"/>
      <w:szCs w:val="16"/>
      <w:lang w:eastAsia="zh-CN" w:bidi="he-IL"/>
    </w:rPr>
  </w:style>
  <w:style w:type="paragraph" w:customStyle="1" w:styleId="Schedule3L2">
    <w:name w:val="Schedule 3 L2"/>
    <w:basedOn w:val="Normal"/>
    <w:next w:val="BodyText"/>
    <w:rsid w:val="00F903F6"/>
    <w:pPr>
      <w:numPr>
        <w:ilvl w:val="1"/>
        <w:numId w:val="12"/>
      </w:numPr>
      <w:tabs>
        <w:tab w:val="num" w:pos="360"/>
      </w:tabs>
      <w:spacing w:after="240" w:line="240" w:lineRule="auto"/>
      <w:jc w:val="center"/>
      <w:outlineLvl w:val="1"/>
    </w:pPr>
    <w:rPr>
      <w:rFonts w:ascii="Times New Roman" w:eastAsia="SimSun" w:hAnsi="Times New Roman" w:cs="Times New Roman"/>
      <w:b/>
      <w:caps/>
      <w:sz w:val="24"/>
      <w:szCs w:val="16"/>
      <w:lang w:eastAsia="zh-CN" w:bidi="he-IL"/>
    </w:rPr>
  </w:style>
  <w:style w:type="paragraph" w:customStyle="1" w:styleId="Schedule3L1">
    <w:name w:val="Schedule 3 L1"/>
    <w:basedOn w:val="Normal"/>
    <w:next w:val="BodyText"/>
    <w:rsid w:val="00F903F6"/>
    <w:pPr>
      <w:keepNext/>
      <w:pageBreakBefore/>
      <w:numPr>
        <w:numId w:val="12"/>
      </w:numPr>
      <w:spacing w:after="240" w:line="240" w:lineRule="auto"/>
      <w:jc w:val="center"/>
      <w:outlineLvl w:val="0"/>
    </w:pPr>
    <w:rPr>
      <w:rFonts w:ascii="Times New Roman" w:eastAsia="SimSun" w:hAnsi="Times New Roman" w:cs="Times New Roman"/>
      <w:b/>
      <w:caps/>
      <w:sz w:val="24"/>
      <w:szCs w:val="16"/>
      <w:lang w:eastAsia="zh-CN" w:bidi="he-IL"/>
    </w:rPr>
  </w:style>
  <w:style w:type="character" w:customStyle="1" w:styleId="BodyText1Char">
    <w:name w:val="Body Text 1 Char"/>
    <w:basedOn w:val="DefaultParagraphFont"/>
    <w:link w:val="BodyText1"/>
    <w:rsid w:val="00F903F6"/>
    <w:rPr>
      <w:rFonts w:ascii="Times New Roman" w:eastAsia="SimSun" w:hAnsi="Times New Roman" w:cs="Times New Roman"/>
      <w:sz w:val="24"/>
      <w:szCs w:val="24"/>
      <w:lang w:eastAsia="en-GB" w:bidi="ar-AE"/>
    </w:rPr>
  </w:style>
  <w:style w:type="paragraph" w:customStyle="1" w:styleId="Tabletext">
    <w:name w:val="Tabletext"/>
    <w:basedOn w:val="BodyText3"/>
    <w:uiPriority w:val="99"/>
    <w:rsid w:val="00F903F6"/>
    <w:pPr>
      <w:spacing w:after="0" w:line="240" w:lineRule="auto"/>
      <w:jc w:val="both"/>
    </w:pPr>
    <w:rPr>
      <w:rFonts w:ascii="Times New Roman" w:eastAsiaTheme="minorEastAsia" w:hAnsi="Times New Roman"/>
      <w:sz w:val="24"/>
      <w:lang w:val="en-US" w:bidi="en-US"/>
    </w:rPr>
  </w:style>
  <w:style w:type="paragraph" w:customStyle="1" w:styleId="TableText0">
    <w:name w:val="Table Text"/>
    <w:basedOn w:val="Normal"/>
    <w:qFormat/>
    <w:rsid w:val="00F903F6"/>
    <w:pPr>
      <w:spacing w:before="60" w:after="6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EF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68"/>
    <w:rPr>
      <w:rFonts w:ascii="Segoe UI" w:hAnsi="Segoe UI" w:cs="Segoe UI"/>
      <w:sz w:val="18"/>
      <w:szCs w:val="18"/>
    </w:rPr>
  </w:style>
  <w:style w:type="character" w:customStyle="1" w:styleId="Schedule3L3Char">
    <w:name w:val="Schedule 3 L3 Char"/>
    <w:basedOn w:val="DefaultParagraphFont"/>
    <w:link w:val="Schedule3L3"/>
    <w:rsid w:val="00D6174B"/>
    <w:rPr>
      <w:rFonts w:ascii="Times New Roman" w:eastAsia="SimSun" w:hAnsi="Times New Roman" w:cs="Times New Roman"/>
      <w:sz w:val="24"/>
      <w:szCs w:val="16"/>
      <w:lang w:eastAsia="zh-CN" w:bidi="he-IL"/>
    </w:rPr>
  </w:style>
  <w:style w:type="paragraph" w:customStyle="1" w:styleId="oj-normal">
    <w:name w:val="oj-normal"/>
    <w:basedOn w:val="Normal"/>
    <w:rsid w:val="009211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E27EF"/>
    <w:rPr>
      <w:sz w:val="16"/>
      <w:szCs w:val="16"/>
    </w:rPr>
  </w:style>
  <w:style w:type="paragraph" w:styleId="CommentText">
    <w:name w:val="annotation text"/>
    <w:basedOn w:val="Normal"/>
    <w:link w:val="CommentTextChar"/>
    <w:uiPriority w:val="99"/>
    <w:semiHidden/>
    <w:unhideWhenUsed/>
    <w:rsid w:val="003E27EF"/>
    <w:pPr>
      <w:spacing w:line="240" w:lineRule="auto"/>
    </w:pPr>
    <w:rPr>
      <w:sz w:val="20"/>
      <w:szCs w:val="20"/>
    </w:rPr>
  </w:style>
  <w:style w:type="character" w:customStyle="1" w:styleId="CommentTextChar">
    <w:name w:val="Comment Text Char"/>
    <w:basedOn w:val="DefaultParagraphFont"/>
    <w:link w:val="CommentText"/>
    <w:uiPriority w:val="99"/>
    <w:semiHidden/>
    <w:rsid w:val="003E27EF"/>
    <w:rPr>
      <w:sz w:val="20"/>
      <w:szCs w:val="20"/>
    </w:rPr>
  </w:style>
  <w:style w:type="paragraph" w:styleId="CommentSubject">
    <w:name w:val="annotation subject"/>
    <w:basedOn w:val="CommentText"/>
    <w:next w:val="CommentText"/>
    <w:link w:val="CommentSubjectChar"/>
    <w:uiPriority w:val="99"/>
    <w:semiHidden/>
    <w:unhideWhenUsed/>
    <w:rsid w:val="003E27EF"/>
    <w:rPr>
      <w:b/>
      <w:bCs/>
    </w:rPr>
  </w:style>
  <w:style w:type="character" w:customStyle="1" w:styleId="CommentSubjectChar">
    <w:name w:val="Comment Subject Char"/>
    <w:basedOn w:val="CommentTextChar"/>
    <w:link w:val="CommentSubject"/>
    <w:uiPriority w:val="99"/>
    <w:semiHidden/>
    <w:rsid w:val="003E27EF"/>
    <w:rPr>
      <w:b/>
      <w:bCs/>
      <w:sz w:val="20"/>
      <w:szCs w:val="20"/>
    </w:rPr>
  </w:style>
  <w:style w:type="paragraph" w:styleId="Revision">
    <w:name w:val="Revision"/>
    <w:hidden/>
    <w:uiPriority w:val="99"/>
    <w:semiHidden/>
    <w:rsid w:val="003E27EF"/>
    <w:pPr>
      <w:spacing w:after="0" w:line="240" w:lineRule="auto"/>
    </w:pPr>
  </w:style>
  <w:style w:type="paragraph" w:customStyle="1" w:styleId="Default">
    <w:name w:val="Default"/>
    <w:rsid w:val="00D7720D"/>
    <w:pPr>
      <w:autoSpaceDE w:val="0"/>
      <w:autoSpaceDN w:val="0"/>
      <w:adjustRightInd w:val="0"/>
      <w:spacing w:after="0" w:line="240" w:lineRule="auto"/>
    </w:pPr>
    <w:rPr>
      <w:rFonts w:ascii="Arial" w:hAnsi="Arial" w:cs="Arial"/>
      <w:color w:val="000000"/>
      <w:sz w:val="24"/>
      <w:szCs w:val="24"/>
    </w:rPr>
  </w:style>
  <w:style w:type="character" w:customStyle="1" w:styleId="General2L1Char">
    <w:name w:val="General 2 L1 Char"/>
    <w:link w:val="General2L1"/>
    <w:rsid w:val="00EF1E79"/>
    <w:rPr>
      <w:rFonts w:ascii="Times New Roman" w:eastAsia="SimSun" w:hAnsi="Times New Roman" w:cs="Times New Roman"/>
      <w:b/>
      <w:caps/>
      <w:sz w:val="24"/>
      <w:szCs w:val="16"/>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766">
      <w:bodyDiv w:val="1"/>
      <w:marLeft w:val="0"/>
      <w:marRight w:val="0"/>
      <w:marTop w:val="0"/>
      <w:marBottom w:val="0"/>
      <w:divBdr>
        <w:top w:val="none" w:sz="0" w:space="0" w:color="auto"/>
        <w:left w:val="none" w:sz="0" w:space="0" w:color="auto"/>
        <w:bottom w:val="none" w:sz="0" w:space="0" w:color="auto"/>
        <w:right w:val="none" w:sz="0" w:space="0" w:color="auto"/>
      </w:divBdr>
      <w:divsChild>
        <w:div w:id="518935823">
          <w:marLeft w:val="446"/>
          <w:marRight w:val="0"/>
          <w:marTop w:val="0"/>
          <w:marBottom w:val="160"/>
          <w:divBdr>
            <w:top w:val="none" w:sz="0" w:space="0" w:color="auto"/>
            <w:left w:val="none" w:sz="0" w:space="0" w:color="auto"/>
            <w:bottom w:val="none" w:sz="0" w:space="0" w:color="auto"/>
            <w:right w:val="none" w:sz="0" w:space="0" w:color="auto"/>
          </w:divBdr>
        </w:div>
        <w:div w:id="1198274030">
          <w:marLeft w:val="446"/>
          <w:marRight w:val="0"/>
          <w:marTop w:val="0"/>
          <w:marBottom w:val="160"/>
          <w:divBdr>
            <w:top w:val="none" w:sz="0" w:space="0" w:color="auto"/>
            <w:left w:val="none" w:sz="0" w:space="0" w:color="auto"/>
            <w:bottom w:val="none" w:sz="0" w:space="0" w:color="auto"/>
            <w:right w:val="none" w:sz="0" w:space="0" w:color="auto"/>
          </w:divBdr>
        </w:div>
      </w:divsChild>
    </w:div>
    <w:div w:id="259263191">
      <w:bodyDiv w:val="1"/>
      <w:marLeft w:val="0"/>
      <w:marRight w:val="0"/>
      <w:marTop w:val="0"/>
      <w:marBottom w:val="0"/>
      <w:divBdr>
        <w:top w:val="none" w:sz="0" w:space="0" w:color="auto"/>
        <w:left w:val="none" w:sz="0" w:space="0" w:color="auto"/>
        <w:bottom w:val="none" w:sz="0" w:space="0" w:color="auto"/>
        <w:right w:val="none" w:sz="0" w:space="0" w:color="auto"/>
      </w:divBdr>
    </w:div>
    <w:div w:id="432555031">
      <w:bodyDiv w:val="1"/>
      <w:marLeft w:val="0"/>
      <w:marRight w:val="0"/>
      <w:marTop w:val="0"/>
      <w:marBottom w:val="0"/>
      <w:divBdr>
        <w:top w:val="none" w:sz="0" w:space="0" w:color="auto"/>
        <w:left w:val="none" w:sz="0" w:space="0" w:color="auto"/>
        <w:bottom w:val="none" w:sz="0" w:space="0" w:color="auto"/>
        <w:right w:val="none" w:sz="0" w:space="0" w:color="auto"/>
      </w:divBdr>
    </w:div>
    <w:div w:id="505170523">
      <w:bodyDiv w:val="1"/>
      <w:marLeft w:val="0"/>
      <w:marRight w:val="0"/>
      <w:marTop w:val="0"/>
      <w:marBottom w:val="0"/>
      <w:divBdr>
        <w:top w:val="none" w:sz="0" w:space="0" w:color="auto"/>
        <w:left w:val="none" w:sz="0" w:space="0" w:color="auto"/>
        <w:bottom w:val="none" w:sz="0" w:space="0" w:color="auto"/>
        <w:right w:val="none" w:sz="0" w:space="0" w:color="auto"/>
      </w:divBdr>
      <w:divsChild>
        <w:div w:id="884367207">
          <w:marLeft w:val="0"/>
          <w:marRight w:val="0"/>
          <w:marTop w:val="0"/>
          <w:marBottom w:val="0"/>
          <w:divBdr>
            <w:top w:val="none" w:sz="0" w:space="0" w:color="auto"/>
            <w:left w:val="none" w:sz="0" w:space="0" w:color="auto"/>
            <w:bottom w:val="none" w:sz="0" w:space="0" w:color="auto"/>
            <w:right w:val="none" w:sz="0" w:space="0" w:color="auto"/>
          </w:divBdr>
        </w:div>
      </w:divsChild>
    </w:div>
    <w:div w:id="514149525">
      <w:bodyDiv w:val="1"/>
      <w:marLeft w:val="0"/>
      <w:marRight w:val="0"/>
      <w:marTop w:val="0"/>
      <w:marBottom w:val="0"/>
      <w:divBdr>
        <w:top w:val="none" w:sz="0" w:space="0" w:color="auto"/>
        <w:left w:val="none" w:sz="0" w:space="0" w:color="auto"/>
        <w:bottom w:val="none" w:sz="0" w:space="0" w:color="auto"/>
        <w:right w:val="none" w:sz="0" w:space="0" w:color="auto"/>
      </w:divBdr>
    </w:div>
    <w:div w:id="694842939">
      <w:bodyDiv w:val="1"/>
      <w:marLeft w:val="0"/>
      <w:marRight w:val="0"/>
      <w:marTop w:val="0"/>
      <w:marBottom w:val="0"/>
      <w:divBdr>
        <w:top w:val="none" w:sz="0" w:space="0" w:color="auto"/>
        <w:left w:val="none" w:sz="0" w:space="0" w:color="auto"/>
        <w:bottom w:val="none" w:sz="0" w:space="0" w:color="auto"/>
        <w:right w:val="none" w:sz="0" w:space="0" w:color="auto"/>
      </w:divBdr>
    </w:div>
    <w:div w:id="724838959">
      <w:bodyDiv w:val="1"/>
      <w:marLeft w:val="0"/>
      <w:marRight w:val="0"/>
      <w:marTop w:val="0"/>
      <w:marBottom w:val="0"/>
      <w:divBdr>
        <w:top w:val="none" w:sz="0" w:space="0" w:color="auto"/>
        <w:left w:val="none" w:sz="0" w:space="0" w:color="auto"/>
        <w:bottom w:val="none" w:sz="0" w:space="0" w:color="auto"/>
        <w:right w:val="none" w:sz="0" w:space="0" w:color="auto"/>
      </w:divBdr>
    </w:div>
    <w:div w:id="782575010">
      <w:bodyDiv w:val="1"/>
      <w:marLeft w:val="0"/>
      <w:marRight w:val="0"/>
      <w:marTop w:val="0"/>
      <w:marBottom w:val="0"/>
      <w:divBdr>
        <w:top w:val="none" w:sz="0" w:space="0" w:color="auto"/>
        <w:left w:val="none" w:sz="0" w:space="0" w:color="auto"/>
        <w:bottom w:val="none" w:sz="0" w:space="0" w:color="auto"/>
        <w:right w:val="none" w:sz="0" w:space="0" w:color="auto"/>
      </w:divBdr>
    </w:div>
    <w:div w:id="804783137">
      <w:bodyDiv w:val="1"/>
      <w:marLeft w:val="0"/>
      <w:marRight w:val="0"/>
      <w:marTop w:val="0"/>
      <w:marBottom w:val="0"/>
      <w:divBdr>
        <w:top w:val="none" w:sz="0" w:space="0" w:color="auto"/>
        <w:left w:val="none" w:sz="0" w:space="0" w:color="auto"/>
        <w:bottom w:val="none" w:sz="0" w:space="0" w:color="auto"/>
        <w:right w:val="none" w:sz="0" w:space="0" w:color="auto"/>
      </w:divBdr>
    </w:div>
    <w:div w:id="817573124">
      <w:bodyDiv w:val="1"/>
      <w:marLeft w:val="0"/>
      <w:marRight w:val="0"/>
      <w:marTop w:val="0"/>
      <w:marBottom w:val="0"/>
      <w:divBdr>
        <w:top w:val="none" w:sz="0" w:space="0" w:color="auto"/>
        <w:left w:val="none" w:sz="0" w:space="0" w:color="auto"/>
        <w:bottom w:val="none" w:sz="0" w:space="0" w:color="auto"/>
        <w:right w:val="none" w:sz="0" w:space="0" w:color="auto"/>
      </w:divBdr>
    </w:div>
    <w:div w:id="934940455">
      <w:bodyDiv w:val="1"/>
      <w:marLeft w:val="0"/>
      <w:marRight w:val="0"/>
      <w:marTop w:val="0"/>
      <w:marBottom w:val="0"/>
      <w:divBdr>
        <w:top w:val="none" w:sz="0" w:space="0" w:color="auto"/>
        <w:left w:val="none" w:sz="0" w:space="0" w:color="auto"/>
        <w:bottom w:val="none" w:sz="0" w:space="0" w:color="auto"/>
        <w:right w:val="none" w:sz="0" w:space="0" w:color="auto"/>
      </w:divBdr>
    </w:div>
    <w:div w:id="1038893790">
      <w:bodyDiv w:val="1"/>
      <w:marLeft w:val="0"/>
      <w:marRight w:val="0"/>
      <w:marTop w:val="0"/>
      <w:marBottom w:val="0"/>
      <w:divBdr>
        <w:top w:val="none" w:sz="0" w:space="0" w:color="auto"/>
        <w:left w:val="none" w:sz="0" w:space="0" w:color="auto"/>
        <w:bottom w:val="none" w:sz="0" w:space="0" w:color="auto"/>
        <w:right w:val="none" w:sz="0" w:space="0" w:color="auto"/>
      </w:divBdr>
    </w:div>
    <w:div w:id="1072777209">
      <w:bodyDiv w:val="1"/>
      <w:marLeft w:val="0"/>
      <w:marRight w:val="0"/>
      <w:marTop w:val="0"/>
      <w:marBottom w:val="0"/>
      <w:divBdr>
        <w:top w:val="none" w:sz="0" w:space="0" w:color="auto"/>
        <w:left w:val="none" w:sz="0" w:space="0" w:color="auto"/>
        <w:bottom w:val="none" w:sz="0" w:space="0" w:color="auto"/>
        <w:right w:val="none" w:sz="0" w:space="0" w:color="auto"/>
      </w:divBdr>
    </w:div>
    <w:div w:id="1097556437">
      <w:bodyDiv w:val="1"/>
      <w:marLeft w:val="0"/>
      <w:marRight w:val="0"/>
      <w:marTop w:val="0"/>
      <w:marBottom w:val="0"/>
      <w:divBdr>
        <w:top w:val="none" w:sz="0" w:space="0" w:color="auto"/>
        <w:left w:val="none" w:sz="0" w:space="0" w:color="auto"/>
        <w:bottom w:val="none" w:sz="0" w:space="0" w:color="auto"/>
        <w:right w:val="none" w:sz="0" w:space="0" w:color="auto"/>
      </w:divBdr>
    </w:div>
    <w:div w:id="16601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gal Document" ma:contentTypeID="0x010100F2BB114903E95F4AAAF81934A538E9A7010081671911822DDF4AB20474CFB5C0CE98" ma:contentTypeVersion="28" ma:contentTypeDescription="Stores client and matter information common to all Legal Documents" ma:contentTypeScope="" ma:versionID="709246827be7c364378907164c6bb78b">
  <xsd:schema xmlns:xsd="http://www.w3.org/2001/XMLSchema" xmlns:xs="http://www.w3.org/2001/XMLSchema" xmlns:p="http://schemas.microsoft.com/office/2006/metadata/properties" xmlns:ns2="55bad463-1eae-46c7-a223-6805cd011302" xmlns:ns3="fc224057-26d8-4a0d-be6d-8c435aa8ffb1" targetNamespace="http://schemas.microsoft.com/office/2006/metadata/properties" ma:root="true" ma:fieldsID="b4576c2282c8a55dc65c1d8e4e6e4383" ns2:_="" ns3:_="">
    <xsd:import namespace="55bad463-1eae-46c7-a223-6805cd011302"/>
    <xsd:import namespace="fc224057-26d8-4a0d-be6d-8c435aa8ffb1"/>
    <xsd:element name="properties">
      <xsd:complexType>
        <xsd:sequence>
          <xsd:element name="documentManagement">
            <xsd:complexType>
              <xsd:all>
                <xsd:element ref="ns2:DocumentOwner" minOccurs="0"/>
                <xsd:element ref="ns2:LegacyDocumentID" minOccurs="0"/>
                <xsd:element ref="ns2:LegacyInformation" minOccurs="0"/>
                <xsd:element ref="ns2:KeyDocument"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2:DocumentIcons" minOccurs="0"/>
                <xsd:element ref="ns2:WorkType" minOccurs="0"/>
                <xsd:element ref="ns2:SectorTaxHTField0" minOccurs="0"/>
                <xsd:element ref="ns2:ConfigListSynch" minOccurs="0"/>
                <xsd:element ref="ns2:LegalDocumentTypeTaxHTField0" minOccurs="0"/>
                <xsd:element ref="ns2:_dlc_DocIdUrl" minOccurs="0"/>
                <xsd:element ref="ns2:LegalTopicTaxHTField0" minOccurs="0"/>
                <xsd:element ref="ns2:JurisdictionTaxHTField0" minOccurs="0"/>
                <xsd:element ref="ns2:_dlc_DocIdPersistId" minOccurs="0"/>
                <xsd:element ref="ns2:_dlc_DocI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ad463-1eae-46c7-a223-6805cd011302" elementFormDefault="qualified">
    <xsd:import namespace="http://schemas.microsoft.com/office/2006/documentManagement/types"/>
    <xsd:import namespace="http://schemas.microsoft.com/office/infopath/2007/PartnerControls"/>
    <xsd:element name="DocumentOwner" ma:index="4" nillable="true" ma:displayName="Document Owner" ma:indexed="true" ma:list="UserInfo"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5" nillable="true" ma:displayName="Legacy Document ID" ma:internalName="LegacyDocumentID" ma:readOnly="false">
      <xsd:simpleType>
        <xsd:restriction base="dms:Text">
          <xsd:maxLength value="255"/>
        </xsd:restriction>
      </xsd:simpleType>
    </xsd:element>
    <xsd:element name="LegacyInformation" ma:index="6" nillable="true" ma:displayName="Legacy Information" ma:internalName="LegacyInformation" ma:readOnly="false">
      <xsd:simpleType>
        <xsd:restriction base="dms:Note"/>
      </xsd:simpleType>
    </xsd:element>
    <xsd:element name="KeyDocument" ma:index="7" nillable="true" ma:displayName="Key Document" ma:default="0" ma:indexed="true" ma:internalName="KeyDocument" ma:readOnly="false">
      <xsd:simpleType>
        <xsd:restriction base="dms:Boolean"/>
      </xsd:simpleType>
    </xsd:element>
    <xsd:element name="MatterNumber" ma:index="11" nillable="true" ma:displayName="Matter Number" ma:default="UK-3999-LMA" ma:internalName="MatterNumber" ma:readOnly="false">
      <xsd:simpleType>
        <xsd:restriction base="dms:Text">
          <xsd:maxLength value="15"/>
        </xsd:restriction>
      </xsd:simpleType>
    </xsd:element>
    <xsd:element name="MatterName" ma:index="12" nillable="true" ma:displayName="Matter Name" ma:default="UK-3999-LMA" ma:internalName="MatterName" ma:readOnly="false">
      <xsd:simpleType>
        <xsd:restriction base="dms:Text">
          <xsd:maxLength value="255"/>
        </xsd:restriction>
      </xsd:simpleType>
    </xsd:element>
    <xsd:element name="MatterStatus" ma:index="13" nillable="true" ma:displayName="Matter Status" ma:default="Current" ma:format="Dropdown" ma:internalName="MatterStatus" ma:readOnly="false">
      <xsd:simpleType>
        <xsd:restriction base="dms:Choice">
          <xsd:enumeration value="Current"/>
          <xsd:enumeration value="Dormant"/>
        </xsd:restriction>
      </xsd:simpleType>
    </xsd:element>
    <xsd:element name="ClientNumber" ma:index="14" nillable="true" ma:displayName="Client Number" ma:internalName="ClientNumber" ma:readOnly="false">
      <xsd:simpleType>
        <xsd:restriction base="dms:Text">
          <xsd:maxLength value="50"/>
        </xsd:restriction>
      </xsd:simpleType>
    </xsd:element>
    <xsd:element name="ClientName" ma:index="15" nillable="true" ma:displayName="Client Name" ma:internalName="ClientName" ma:readOnly="false">
      <xsd:simpleType>
        <xsd:restriction base="dms:Text">
          <xsd:maxLength value="255"/>
        </xsd:restriction>
      </xsd:simpleType>
    </xsd:element>
    <xsd:element name="ClientReference" ma:index="16" nillable="true" ma:displayName="Client Reference" ma:internalName="ClientReference" ma:readOnly="false">
      <xsd:simpleType>
        <xsd:restriction base="dms:Text">
          <xsd:maxLength value="255"/>
        </xsd:restriction>
      </xsd:simpleType>
    </xsd:element>
    <xsd:element name="CCOffice" ma:index="17" nillable="true" ma:displayName="CC Office" ma:default="UK" ma:internalName="CCOffice" ma:readOnly="false">
      <xsd:simpleType>
        <xsd:restriction base="dms:Text">
          <xsd:maxLength value="255"/>
        </xsd:restriction>
      </xsd:simpleType>
    </xsd:element>
    <xsd:element name="PracticeArea" ma:index="18" nillable="true" ma:displayName="Practice Area" ma:default="Capital Markets" ma:internalName="PracticeArea" ma:readOnly="false">
      <xsd:simpleType>
        <xsd:restriction base="dms:Text">
          <xsd:maxLength value="255"/>
        </xsd:restriction>
      </xsd:simpleType>
    </xsd:element>
    <xsd:element name="PracticeGroup" ma:index="19" nillable="true" ma:displayName="Practice Group" ma:default="B&amp;F Central Support" ma:internalName="PracticeGroup" ma:readOnly="false">
      <xsd:simpleType>
        <xsd:restriction base="dms:Text">
          <xsd:maxLength value="255"/>
        </xsd:restriction>
      </xsd:simpleType>
    </xsd:element>
    <xsd:element name="DocumentIcons" ma:index="21" nillable="true" ma:displayName="Relationship Icons" ma:internalName="DocumentIcons" ma:readOnly="true">
      <xsd:simpleType>
        <xsd:restriction base="dms:Note"/>
      </xsd:simpleType>
    </xsd:element>
    <xsd:element name="WorkType" ma:index="22" nillable="true" ma:displayName="Work Type" ma:internalName="WorkType" ma:readOnly="false">
      <xsd:simpleType>
        <xsd:restriction base="dms:Text">
          <xsd:maxLength value="255"/>
        </xsd:restriction>
      </xsd:simpleType>
    </xsd:element>
    <xsd:element name="SectorTaxHTField0" ma:index="25" nillable="true" ma:displayName="Sector_0" ma:hidden="true" ma:internalName="SectorTaxHTField0" ma:readOnly="false">
      <xsd:simpleType>
        <xsd:restriction base="dms:Note"/>
      </xsd:simpleType>
    </xsd:element>
    <xsd:element name="ConfigListSynch" ma:index="26" nillable="true" ma:displayName="Config List Synch" ma:format="DateTime" ma:hidden="true" ma:internalName="ConfigListSynch" ma:readOnly="false">
      <xsd:simpleType>
        <xsd:restriction base="dms:DateTime"/>
      </xsd:simpleType>
    </xsd:element>
    <xsd:element name="LegalDocumentTypeTaxHTField0" ma:index="27" nillable="true" ma:displayName="LegalDocumentType_0" ma:hidden="true" ma:internalName="LegalDocumentTypeTaxHTField0" ma:readOnly="false">
      <xsd:simpleType>
        <xsd:restriction base="dms:Note"/>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egalTopicTaxHTField0" ma:index="30" nillable="true" ma:displayName="LegalTopic_0" ma:hidden="true" ma:internalName="LegalTopicTaxHTField0" ma:readOnly="false">
      <xsd:simpleType>
        <xsd:restriction base="dms:Note"/>
      </xsd:simpleType>
    </xsd:element>
    <xsd:element name="JurisdictionTaxHTField0" ma:index="32" nillable="true" ma:displayName="Jurisdiction_0" ma:hidden="true" ma:internalName="JurisdictionTaxHTField0" ma:readOnly="false">
      <xsd:simpleType>
        <xsd:restriction base="dms:Note"/>
      </xsd:simpleType>
    </xsd:element>
    <xsd:element name="_dlc_DocIdPersistId" ma:index="33" nillable="true" ma:displayName="Persist ID" ma:description="Keep ID on add." ma:hidden="true" ma:internalName="_dlc_DocIdPersistId" ma:readOnly="false">
      <xsd:simpleType>
        <xsd:restriction base="dms:Boolean"/>
      </xsd:simpleType>
    </xsd:element>
    <xsd:element name="_dlc_DocId" ma:index="34" nillable="true" ma:displayName="Document ID Value" ma:description="The value of the document ID assigned to this item." ma:indexed="true" ma:internalName="_dlc_DocId" ma:readOnly="true">
      <xsd:simpleType>
        <xsd:restriction base="dms:Text"/>
      </xsd:simpleType>
    </xsd:element>
    <xsd:element name="TaxCatchAll" ma:index="35" nillable="true" ma:displayName="Taxonomy Catch All Column" ma:hidden="true" ma:list="{b8867fae-5af2-4b50-b4ce-f2169d8ada25}" ma:internalName="TaxCatchAll" ma:readOnly="false" ma:showField="CatchAllData" ma:web="55bad463-1eae-46c7-a223-6805cd011302">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b8867fae-5af2-4b50-b4ce-f2169d8ada25}" ma:internalName="TaxCatchAllLabel" ma:readOnly="false" ma:showField="CatchAllDataLabel" ma:web="55bad463-1eae-46c7-a223-6805cd011302">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4057-26d8-4a0d-be6d-8c435aa8ffb1"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egalTopicTaxHTField0 xmlns="55bad463-1eae-46c7-a223-6805cd011302" xsi:nil="true"/>
    <ClientReference xmlns="55bad463-1eae-46c7-a223-6805cd011302" xsi:nil="true"/>
    <CCOffice xmlns="55bad463-1eae-46c7-a223-6805cd011302">UK</CCOffice>
    <WorkType xmlns="55bad463-1eae-46c7-a223-6805cd011302" xsi:nil="true"/>
    <ClientNumber xmlns="55bad463-1eae-46c7-a223-6805cd011302" xsi:nil="true"/>
    <PracticeGroup xmlns="55bad463-1eae-46c7-a223-6805cd011302">B&amp;F Central Support</PracticeGroup>
    <ConfigListSynch xmlns="55bad463-1eae-46c7-a223-6805cd011302" xsi:nil="true"/>
    <DocumentOwner xmlns="55bad463-1eae-46c7-a223-6805cd011302">
      <UserInfo>
        <DisplayName/>
        <AccountId xsi:nil="true"/>
        <AccountType/>
      </UserInfo>
    </DocumentOwner>
    <LegacyInformation xmlns="55bad463-1eae-46c7-a223-6805cd011302" xsi:nil="true"/>
    <MatterName xmlns="55bad463-1eae-46c7-a223-6805cd011302">UK-3999-LMA</MatterName>
    <LegacyDocumentID xmlns="55bad463-1eae-46c7-a223-6805cd011302" xsi:nil="true"/>
    <_dlc_DocIdPersistId xmlns="55bad463-1eae-46c7-a223-6805cd011302" xsi:nil="true"/>
    <MatterNumber xmlns="55bad463-1eae-46c7-a223-6805cd011302">UK-3999-LMA</MatterNumber>
    <PracticeArea xmlns="55bad463-1eae-46c7-a223-6805cd011302">Capital Markets</PracticeArea>
    <TaxCatchAll xmlns="55bad463-1eae-46c7-a223-6805cd011302" xsi:nil="true"/>
    <JurisdictionTaxHTField0 xmlns="55bad463-1eae-46c7-a223-6805cd011302" xsi:nil="true"/>
    <LegalDocumentTypeTaxHTField0 xmlns="55bad463-1eae-46c7-a223-6805cd011302" xsi:nil="true"/>
    <KeyDocument xmlns="55bad463-1eae-46c7-a223-6805cd011302">false</KeyDocument>
    <SectorTaxHTField0 xmlns="55bad463-1eae-46c7-a223-6805cd011302" xsi:nil="true"/>
    <MatterStatus xmlns="55bad463-1eae-46c7-a223-6805cd011302">Current</MatterStatus>
    <TaxCatchAllLabel xmlns="55bad463-1eae-46c7-a223-6805cd011302" xsi:nil="true"/>
    <ClientName xmlns="55bad463-1eae-46c7-a223-6805cd011302" xsi:nil="true"/>
    <_dlc_DocId xmlns="55bad463-1eae-46c7-a223-6805cd011302">LMASITE-2108511252-13456</_dlc_DocId>
    <_dlc_DocIdUrl xmlns="55bad463-1eae-46c7-a223-6805cd011302">
      <Url>https://cliffordchance.sharepoint.com/sites/UK-3999-LMA/_layouts/15/DocIdRedir.aspx?ID=LMASITE-2108511252-13456</Url>
      <Description>LMASITE-2108511252-13456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89276-C928-4075-A3C7-4DBDE5B4C7AE}">
  <ds:schemaRefs>
    <ds:schemaRef ds:uri="http://schemas.microsoft.com/sharepoint/events"/>
  </ds:schemaRefs>
</ds:datastoreItem>
</file>

<file path=customXml/itemProps2.xml><?xml version="1.0" encoding="utf-8"?>
<ds:datastoreItem xmlns:ds="http://schemas.openxmlformats.org/officeDocument/2006/customXml" ds:itemID="{E358D519-29F4-4B39-BDDE-ACE2DB64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ad463-1eae-46c7-a223-6805cd011302"/>
    <ds:schemaRef ds:uri="fc224057-26d8-4a0d-be6d-8c435aa8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7D6BD-FA41-4317-AF41-0970908469E8}">
  <ds:schemaRefs>
    <ds:schemaRef ds:uri="http://schemas.openxmlformats.org/officeDocument/2006/bibliography"/>
  </ds:schemaRefs>
</ds:datastoreItem>
</file>

<file path=customXml/itemProps4.xml><?xml version="1.0" encoding="utf-8"?>
<ds:datastoreItem xmlns:ds="http://schemas.openxmlformats.org/officeDocument/2006/customXml" ds:itemID="{74048373-EF4D-43D2-B5C3-1E0BE9827F20}">
  <ds:schemaRefs>
    <ds:schemaRef ds:uri="http://schemas.microsoft.com/office/2006/metadata/properties"/>
    <ds:schemaRef ds:uri="http://schemas.microsoft.com/office/infopath/2007/PartnerControls"/>
    <ds:schemaRef ds:uri="55bad463-1eae-46c7-a223-6805cd011302"/>
  </ds:schemaRefs>
</ds:datastoreItem>
</file>

<file path=customXml/itemProps5.xml><?xml version="1.0" encoding="utf-8"?>
<ds:datastoreItem xmlns:ds="http://schemas.openxmlformats.org/officeDocument/2006/customXml" ds:itemID="{9787E6E2-7266-4154-97DE-76577D717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2520</Words>
  <Characters>14365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LON_LIB1\24900854\8</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LON_LIB1\24900854\8</dc:title>
  <dc:subject/>
  <dc:creator>LimJI</dc:creator>
  <cp:keywords/>
  <dc:description/>
  <cp:lastModifiedBy>Matt Dickinson</cp:lastModifiedBy>
  <cp:revision>2</cp:revision>
  <dcterms:created xsi:type="dcterms:W3CDTF">2022-11-25T13:46:00Z</dcterms:created>
  <dcterms:modified xsi:type="dcterms:W3CDTF">2022-11-25T13:46:00Z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lientID">
    <vt:lpwstr>INDIVIDUAL</vt:lpwstr>
  </property>
  <property fmtid="{D5CDD505-2E9C-101B-9397-08002B2CF9AE}" pid="4" name="MatterID">
    <vt:lpwstr>LimJI</vt:lpwstr>
  </property>
  <property fmtid="{D5CDD505-2E9C-101B-9397-08002B2CF9AE}" pid="5" name="MSIP_Label_bff60613-a741-4790-ba46-c6813ca61c58_Enabled">
    <vt:lpwstr>true</vt:lpwstr>
  </property>
  <property fmtid="{D5CDD505-2E9C-101B-9397-08002B2CF9AE}" pid="6" name="MSIP_Label_bff60613-a741-4790-ba46-c6813ca61c58_SetDate">
    <vt:lpwstr>2021-11-29T14:03:51Z</vt:lpwstr>
  </property>
  <property fmtid="{D5CDD505-2E9C-101B-9397-08002B2CF9AE}" pid="7" name="MSIP_Label_bff60613-a741-4790-ba46-c6813ca61c58_Method">
    <vt:lpwstr>Standard</vt:lpwstr>
  </property>
  <property fmtid="{D5CDD505-2E9C-101B-9397-08002B2CF9AE}" pid="8" name="MSIP_Label_bff60613-a741-4790-ba46-c6813ca61c58_Name">
    <vt:lpwstr>Confidential</vt:lpwstr>
  </property>
  <property fmtid="{D5CDD505-2E9C-101B-9397-08002B2CF9AE}" pid="9" name="MSIP_Label_bff60613-a741-4790-ba46-c6813ca61c58_SiteId">
    <vt:lpwstr>568a5434-7d3f-4714-b824-fe722e2748c0</vt:lpwstr>
  </property>
  <property fmtid="{D5CDD505-2E9C-101B-9397-08002B2CF9AE}" pid="10" name="MSIP_Label_bff60613-a741-4790-ba46-c6813ca61c58_ActionId">
    <vt:lpwstr>669c5a05-090f-4275-a1a1-c4fc5f586a3c</vt:lpwstr>
  </property>
  <property fmtid="{D5CDD505-2E9C-101B-9397-08002B2CF9AE}" pid="11" name="MSIP_Label_bff60613-a741-4790-ba46-c6813ca61c58_ContentBits">
    <vt:lpwstr>0</vt:lpwstr>
  </property>
  <property fmtid="{D5CDD505-2E9C-101B-9397-08002B2CF9AE}" pid="12" name="_NewReviewCycle">
    <vt:lpwstr/>
  </property>
  <property fmtid="{D5CDD505-2E9C-101B-9397-08002B2CF9AE}" pid="13" name="ContentTypeId">
    <vt:lpwstr>0x010100F2BB114903E95F4AAAF81934A538E9A7010081671911822DDF4AB20474CFB5C0CE98</vt:lpwstr>
  </property>
  <property fmtid="{D5CDD505-2E9C-101B-9397-08002B2CF9AE}" pid="14" name="_dlc_DocIdItemGuid">
    <vt:lpwstr>a51b980c-d544-481c-9e11-0f269566f350</vt:lpwstr>
  </property>
  <property fmtid="{D5CDD505-2E9C-101B-9397-08002B2CF9AE}" pid="15" name="Jurisdiction">
    <vt:lpwstr/>
  </property>
  <property fmtid="{D5CDD505-2E9C-101B-9397-08002B2CF9AE}" pid="16" name="LegalDocumentType">
    <vt:lpwstr/>
  </property>
  <property fmtid="{D5CDD505-2E9C-101B-9397-08002B2CF9AE}" pid="17" name="LegalTopic">
    <vt:lpwstr/>
  </property>
  <property fmtid="{D5CDD505-2E9C-101B-9397-08002B2CF9AE}" pid="18" name="Sector">
    <vt:lpwstr/>
  </property>
  <property fmtid="{D5CDD505-2E9C-101B-9397-08002B2CF9AE}" pid="19" name="MSIP_Label_5b8ef095-e9fa-41fa-8c3a-9210f75a2874_Enabled">
    <vt:lpwstr>true</vt:lpwstr>
  </property>
  <property fmtid="{D5CDD505-2E9C-101B-9397-08002B2CF9AE}" pid="20" name="MSIP_Label_5b8ef095-e9fa-41fa-8c3a-9210f75a2874_SetDate">
    <vt:lpwstr>2022-09-29T15:56:07Z</vt:lpwstr>
  </property>
  <property fmtid="{D5CDD505-2E9C-101B-9397-08002B2CF9AE}" pid="21" name="MSIP_Label_5b8ef095-e9fa-41fa-8c3a-9210f75a2874_Method">
    <vt:lpwstr>Privileged</vt:lpwstr>
  </property>
  <property fmtid="{D5CDD505-2E9C-101B-9397-08002B2CF9AE}" pid="22" name="MSIP_Label_5b8ef095-e9fa-41fa-8c3a-9210f75a2874_Name">
    <vt:lpwstr>Aviva Investors - Public</vt:lpwstr>
  </property>
  <property fmtid="{D5CDD505-2E9C-101B-9397-08002B2CF9AE}" pid="23" name="MSIP_Label_5b8ef095-e9fa-41fa-8c3a-9210f75a2874_SiteId">
    <vt:lpwstr>42d0d02d-6286-465e-999b-31006231efb1</vt:lpwstr>
  </property>
  <property fmtid="{D5CDD505-2E9C-101B-9397-08002B2CF9AE}" pid="24" name="MSIP_Label_5b8ef095-e9fa-41fa-8c3a-9210f75a2874_ActionId">
    <vt:lpwstr>e0ef6c12-6b36-4298-9275-88f338eab16f</vt:lpwstr>
  </property>
  <property fmtid="{D5CDD505-2E9C-101B-9397-08002B2CF9AE}" pid="25" name="MSIP_Label_5b8ef095-e9fa-41fa-8c3a-9210f75a2874_ContentBits">
    <vt:lpwstr>2</vt:lpwstr>
  </property>
  <property fmtid="{D5CDD505-2E9C-101B-9397-08002B2CF9AE}" pid="26" name="x-AvivaClassification">
    <vt:lpwstr>Aviva-Pub1ic</vt:lpwstr>
  </property>
  <property fmtid="{D5CDD505-2E9C-101B-9397-08002B2CF9AE}" pid="27" name="AvivaClassification">
    <vt:lpwstr> Aviva-Pub1ic</vt:lpwstr>
  </property>
</Properties>
</file>